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6B693" w14:textId="77777777" w:rsidR="00373827" w:rsidRDefault="00D0599F" w:rsidP="0099154E">
      <w:pPr>
        <w:adjustRightInd w:val="0"/>
        <w:snapToGrid w:val="0"/>
        <w:ind w:rightChars="8" w:right="16"/>
        <w:jc w:val="right"/>
        <w:rPr>
          <w:rFonts w:ascii="Arial Unicode MS" w:hAnsi="Arial Unicode MS"/>
        </w:rPr>
      </w:pPr>
      <w:r>
        <w:rPr>
          <w:rFonts w:ascii="Calibri" w:hAnsi="Calibri"/>
          <w:noProof/>
          <w:color w:val="5F5F5F"/>
          <w:sz w:val="18"/>
          <w:szCs w:val="20"/>
          <w:lang w:val="zh-TW"/>
        </w:rPr>
        <w:drawing>
          <wp:inline distT="0" distB="0" distL="0" distR="0" wp14:anchorId="01C51B3B" wp14:editId="01B25B56">
            <wp:extent cx="415925" cy="415925"/>
            <wp:effectExtent l="0" t="0" r="3175" b="3175"/>
            <wp:docPr id="2" name="圖片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925" cy="415925"/>
                    </a:xfrm>
                    <a:prstGeom prst="rect">
                      <a:avLst/>
                    </a:prstGeom>
                    <a:noFill/>
                    <a:ln>
                      <a:noFill/>
                    </a:ln>
                  </pic:spPr>
                </pic:pic>
              </a:graphicData>
            </a:graphic>
          </wp:inline>
        </w:drawing>
      </w:r>
    </w:p>
    <w:p w14:paraId="5786DD13" w14:textId="2F854E1F" w:rsidR="00373827" w:rsidRDefault="00373827" w:rsidP="0099154E">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9" w:tgtFrame="_blank" w:history="1">
        <w:r w:rsidRPr="00373827">
          <w:rPr>
            <w:rStyle w:val="a3"/>
            <w:sz w:val="18"/>
            <w:szCs w:val="20"/>
          </w:rPr>
          <w:t>更新</w:t>
        </w:r>
      </w:hyperlink>
      <w:r>
        <w:rPr>
          <w:rFonts w:hint="eastAsia"/>
          <w:color w:val="7F7F7F"/>
          <w:sz w:val="18"/>
          <w:szCs w:val="20"/>
          <w:lang w:val="zh-TW"/>
        </w:rPr>
        <w:t>】</w:t>
      </w:r>
      <w:r w:rsidR="00765F96" w:rsidRPr="00BC58F8">
        <w:rPr>
          <w:sz w:val="18"/>
        </w:rPr>
        <w:t>2021/6/25</w:t>
      </w:r>
      <w:r>
        <w:rPr>
          <w:rFonts w:hint="eastAsia"/>
          <w:color w:val="7F7F7F"/>
          <w:sz w:val="18"/>
          <w:szCs w:val="20"/>
          <w:lang w:val="zh-TW"/>
        </w:rPr>
        <w:t>【</w:t>
      </w:r>
      <w:r>
        <w:rPr>
          <w:rFonts w:hint="eastAsia"/>
          <w:color w:val="7F7F7F"/>
          <w:sz w:val="18"/>
          <w:szCs w:val="20"/>
        </w:rPr>
        <w:t>編輯著作權者</w:t>
      </w:r>
      <w:r>
        <w:rPr>
          <w:rFonts w:hint="eastAsia"/>
          <w:color w:val="7F7F7F"/>
          <w:sz w:val="18"/>
          <w:szCs w:val="20"/>
          <w:lang w:val="zh-TW"/>
        </w:rPr>
        <w:t>】</w:t>
      </w:r>
      <w:hyperlink r:id="rId10" w:tgtFrame="_blank" w:history="1">
        <w:r w:rsidRPr="00E94405">
          <w:rPr>
            <w:rStyle w:val="a3"/>
            <w:sz w:val="18"/>
            <w:szCs w:val="20"/>
          </w:rPr>
          <w:t>黃婉玲</w:t>
        </w:r>
      </w:hyperlink>
    </w:p>
    <w:p w14:paraId="6BDBFA2A" w14:textId="77777777" w:rsidR="00A6011A" w:rsidRPr="003555EC" w:rsidRDefault="00A43518" w:rsidP="00373827">
      <w:pPr>
        <w:adjustRightInd w:val="0"/>
        <w:snapToGrid w:val="0"/>
        <w:jc w:val="right"/>
        <w:rPr>
          <w:rFonts w:ascii="Arial Unicode MS" w:hAnsi="Arial Unicode MS"/>
        </w:rPr>
      </w:pPr>
      <w:r>
        <w:rPr>
          <w:rFonts w:hint="eastAsia"/>
          <w:color w:val="808000"/>
          <w:sz w:val="18"/>
          <w:szCs w:val="20"/>
        </w:rPr>
        <w:t>（建議使用工具列</w:t>
      </w:r>
      <w:r>
        <w:rPr>
          <w:rFonts w:hint="eastAsia"/>
          <w:color w:val="808000"/>
          <w:sz w:val="18"/>
          <w:szCs w:val="20"/>
        </w:rPr>
        <w:t>--</w:t>
      </w:r>
      <w:r w:rsidR="0024136E">
        <w:rPr>
          <w:rFonts w:hint="eastAsia"/>
          <w:color w:val="808000"/>
          <w:sz w:val="18"/>
          <w:szCs w:val="20"/>
        </w:rPr>
        <w:t>〉</w:t>
      </w:r>
      <w:r>
        <w:rPr>
          <w:rFonts w:hint="eastAsia"/>
          <w:color w:val="808000"/>
          <w:sz w:val="18"/>
          <w:szCs w:val="20"/>
        </w:rPr>
        <w:t>檢視</w:t>
      </w:r>
      <w:r>
        <w:rPr>
          <w:rFonts w:hint="eastAsia"/>
          <w:color w:val="808000"/>
          <w:sz w:val="18"/>
          <w:szCs w:val="20"/>
        </w:rPr>
        <w:t>--</w:t>
      </w:r>
      <w:r w:rsidR="0024136E">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hyperlink r:id="rId11" w:history="1"/>
      <w:hyperlink r:id="rId12" w:history="1"/>
    </w:p>
    <w:tbl>
      <w:tblPr>
        <w:tblW w:w="5065" w:type="pct"/>
        <w:tblCellSpacing w:w="0" w:type="dxa"/>
        <w:tblInd w:w="15" w:type="dxa"/>
        <w:tblCellMar>
          <w:left w:w="0" w:type="dxa"/>
          <w:right w:w="0" w:type="dxa"/>
        </w:tblCellMar>
        <w:tblLook w:val="0000" w:firstRow="0" w:lastRow="0" w:firstColumn="0" w:lastColumn="0" w:noHBand="0" w:noVBand="0"/>
      </w:tblPr>
      <w:tblGrid>
        <w:gridCol w:w="978"/>
        <w:gridCol w:w="5528"/>
        <w:gridCol w:w="3544"/>
      </w:tblGrid>
      <w:tr w:rsidR="00A6011A" w:rsidRPr="003555EC" w14:paraId="1F39A8E9" w14:textId="77777777" w:rsidTr="005A65D4">
        <w:trPr>
          <w:cantSplit/>
          <w:trHeight w:val="750"/>
          <w:tblCellSpacing w:w="0" w:type="dxa"/>
        </w:trPr>
        <w:tc>
          <w:tcPr>
            <w:tcW w:w="487" w:type="pct"/>
            <w:tcBorders>
              <w:top w:val="nil"/>
              <w:left w:val="nil"/>
              <w:bottom w:val="nil"/>
              <w:right w:val="nil"/>
            </w:tcBorders>
            <w:shd w:val="clear" w:color="auto" w:fill="CC3300"/>
            <w:vAlign w:val="center"/>
          </w:tcPr>
          <w:p w14:paraId="71191C69" w14:textId="77777777" w:rsidR="00A6011A" w:rsidRPr="006E3BC0" w:rsidRDefault="00A51BA6" w:rsidP="0099154E">
            <w:pPr>
              <w:ind w:leftChars="-6" w:left="-12"/>
              <w:jc w:val="center"/>
              <w:rPr>
                <w:rFonts w:ascii="Arial Unicode MS" w:hAnsi="Arial Unicode MS"/>
                <w:b/>
                <w:bCs/>
                <w:color w:val="FFFFFF"/>
                <w:szCs w:val="20"/>
              </w:rPr>
            </w:pPr>
            <w:r w:rsidRPr="00A51BA6">
              <w:rPr>
                <w:rFonts w:ascii="Arial Unicode MS" w:hAnsi="Arial Unicode MS"/>
                <w:b/>
                <w:bCs/>
                <w:color w:val="FFFFFF"/>
                <w:sz w:val="18"/>
                <w:szCs w:val="20"/>
              </w:rPr>
              <w:t>法規名稱</w:t>
            </w:r>
          </w:p>
        </w:tc>
        <w:tc>
          <w:tcPr>
            <w:tcW w:w="2750" w:type="pct"/>
            <w:tcBorders>
              <w:top w:val="nil"/>
              <w:left w:val="nil"/>
              <w:bottom w:val="nil"/>
              <w:right w:val="nil"/>
            </w:tcBorders>
            <w:shd w:val="clear" w:color="auto" w:fill="FFFAE5"/>
            <w:vAlign w:val="center"/>
          </w:tcPr>
          <w:p w14:paraId="6B63CB6C" w14:textId="1DB74BB4" w:rsidR="00A6011A" w:rsidRPr="00703E61" w:rsidRDefault="00590A08" w:rsidP="0099154E">
            <w:pPr>
              <w:ind w:leftChars="-6" w:left="-12" w:rightChars="-6" w:right="-12"/>
              <w:jc w:val="center"/>
              <w:rPr>
                <w:rFonts w:ascii="Arial Unicode MS" w:hAnsi="Arial Unicode MS"/>
                <w:b/>
                <w:bCs/>
                <w:color w:val="000000"/>
                <w:sz w:val="28"/>
                <w:szCs w:val="28"/>
              </w:rPr>
            </w:pPr>
            <w:r w:rsidRPr="00F121F7">
              <w:rPr>
                <w:rFonts w:ascii="新細明體" w:eastAsia="標楷體" w:hAnsi="新細明體" w:hint="eastAsia"/>
                <w:bCs/>
                <w:sz w:val="26"/>
                <w:szCs w:val="26"/>
                <w14:shadow w14:blurRad="50800" w14:dist="38100" w14:dir="2700000" w14:sx="100000" w14:sy="100000" w14:kx="0" w14:ky="0" w14:algn="tl">
                  <w14:srgbClr w14:val="000000">
                    <w14:alpha w14:val="60000"/>
                  </w14:srgbClr>
                </w14:shadow>
              </w:rPr>
              <w:t>傳染病流行疫情嚴重期間司法程序特別條例</w:t>
            </w:r>
          </w:p>
        </w:tc>
        <w:tc>
          <w:tcPr>
            <w:tcW w:w="1763" w:type="pct"/>
            <w:tcBorders>
              <w:top w:val="nil"/>
              <w:left w:val="nil"/>
              <w:bottom w:val="nil"/>
              <w:right w:val="nil"/>
            </w:tcBorders>
            <w:shd w:val="clear" w:color="auto" w:fill="FFFAE5"/>
            <w:vAlign w:val="center"/>
          </w:tcPr>
          <w:p w14:paraId="6E7FE1FF" w14:textId="7A07438C" w:rsidR="00E3177E" w:rsidRPr="002E59EF" w:rsidRDefault="00E3177E" w:rsidP="00E3177E">
            <w:pPr>
              <w:ind w:leftChars="-6" w:left="-12"/>
              <w:jc w:val="both"/>
              <w:rPr>
                <w:rFonts w:ascii="Arial Unicode MS" w:hAnsi="Arial Unicode MS"/>
                <w:color w:val="990000"/>
              </w:rPr>
            </w:pPr>
            <w:r w:rsidRPr="002E59EF">
              <w:rPr>
                <w:rFonts w:ascii="Arial Unicode MS" w:hAnsi="Arial Unicode MS"/>
                <w:color w:val="990000"/>
              </w:rPr>
              <w:t>【</w:t>
            </w:r>
            <w:r w:rsidRPr="00F23F44">
              <w:rPr>
                <w:rFonts w:ascii="Arial Unicode MS" w:hAnsi="Arial Unicode MS" w:hint="eastAsia"/>
                <w:color w:val="993300"/>
              </w:rPr>
              <w:t>制定</w:t>
            </w:r>
            <w:r w:rsidRPr="002E59EF">
              <w:rPr>
                <w:rFonts w:ascii="Arial Unicode MS" w:hAnsi="Arial Unicode MS" w:hint="eastAsia"/>
                <w:color w:val="990000"/>
              </w:rPr>
              <w:t>日期</w:t>
            </w:r>
            <w:r w:rsidRPr="002E59EF">
              <w:rPr>
                <w:rFonts w:ascii="Arial Unicode MS" w:hAnsi="Arial Unicode MS"/>
                <w:color w:val="990000"/>
              </w:rPr>
              <w:t>】</w:t>
            </w:r>
            <w:r w:rsidRPr="002E59EF">
              <w:rPr>
                <w:rFonts w:ascii="Arial Unicode MS" w:hAnsi="Arial Unicode MS" w:hint="eastAsia"/>
                <w:color w:val="990000"/>
              </w:rPr>
              <w:t>民國</w:t>
            </w:r>
            <w:r w:rsidRPr="002E59EF">
              <w:rPr>
                <w:rFonts w:ascii="Arial Unicode MS" w:hAnsi="Arial Unicode MS" w:hint="eastAsia"/>
                <w:color w:val="990000"/>
              </w:rPr>
              <w:t>1</w:t>
            </w:r>
            <w:r w:rsidR="00062D17">
              <w:rPr>
                <w:rFonts w:ascii="Arial Unicode MS" w:hAnsi="Arial Unicode MS"/>
                <w:color w:val="990000"/>
              </w:rPr>
              <w:t>10</w:t>
            </w:r>
            <w:r w:rsidRPr="002E59EF">
              <w:rPr>
                <w:rFonts w:ascii="Arial Unicode MS" w:hAnsi="Arial Unicode MS"/>
                <w:color w:val="990000"/>
              </w:rPr>
              <w:t>年</w:t>
            </w:r>
            <w:r w:rsidR="00F121F7">
              <w:rPr>
                <w:rFonts w:ascii="Arial Unicode MS" w:hAnsi="Arial Unicode MS"/>
                <w:color w:val="990000"/>
              </w:rPr>
              <w:t>6</w:t>
            </w:r>
            <w:r w:rsidRPr="002E59EF">
              <w:rPr>
                <w:rFonts w:ascii="Arial Unicode MS" w:hAnsi="Arial Unicode MS"/>
                <w:color w:val="990000"/>
              </w:rPr>
              <w:t>月</w:t>
            </w:r>
            <w:r w:rsidR="00F121F7">
              <w:rPr>
                <w:rFonts w:ascii="Arial Unicode MS" w:hAnsi="Arial Unicode MS"/>
                <w:color w:val="990000"/>
              </w:rPr>
              <w:t>18</w:t>
            </w:r>
            <w:r w:rsidRPr="002E59EF">
              <w:rPr>
                <w:rFonts w:ascii="Arial Unicode MS" w:hAnsi="Arial Unicode MS"/>
                <w:color w:val="990000"/>
              </w:rPr>
              <w:t>日</w:t>
            </w:r>
          </w:p>
          <w:p w14:paraId="3B0DE5E7" w14:textId="28D84361" w:rsidR="00A6011A" w:rsidRPr="003555EC" w:rsidRDefault="00E3177E" w:rsidP="00E94405">
            <w:pPr>
              <w:ind w:leftChars="-6" w:left="-12"/>
              <w:jc w:val="both"/>
              <w:rPr>
                <w:rFonts w:ascii="Arial Unicode MS" w:hAnsi="Arial Unicode MS"/>
                <w:color w:val="800000"/>
              </w:rPr>
            </w:pPr>
            <w:r w:rsidRPr="002E59EF">
              <w:rPr>
                <w:rFonts w:ascii="Arial Unicode MS" w:hAnsi="Arial Unicode MS"/>
                <w:color w:val="990000"/>
              </w:rPr>
              <w:t>【</w:t>
            </w:r>
            <w:r w:rsidRPr="002E59EF">
              <w:rPr>
                <w:rFonts w:ascii="Arial Unicode MS" w:hAnsi="Arial Unicode MS" w:hint="eastAsia"/>
                <w:color w:val="990000"/>
              </w:rPr>
              <w:t>公布日期</w:t>
            </w:r>
            <w:r w:rsidRPr="002E59EF">
              <w:rPr>
                <w:rFonts w:ascii="Arial Unicode MS" w:hAnsi="Arial Unicode MS"/>
                <w:color w:val="990000"/>
              </w:rPr>
              <w:t>】</w:t>
            </w:r>
            <w:r w:rsidRPr="002E59EF">
              <w:rPr>
                <w:rFonts w:ascii="Arial Unicode MS" w:hAnsi="Arial Unicode MS" w:hint="eastAsia"/>
                <w:color w:val="990000"/>
              </w:rPr>
              <w:t>民國</w:t>
            </w:r>
            <w:r w:rsidRPr="002E59EF">
              <w:rPr>
                <w:rFonts w:ascii="Arial Unicode MS" w:hAnsi="Arial Unicode MS" w:hint="eastAsia"/>
                <w:color w:val="990000"/>
              </w:rPr>
              <w:t>1</w:t>
            </w:r>
            <w:r w:rsidR="00062D17">
              <w:rPr>
                <w:rFonts w:ascii="Arial Unicode MS" w:hAnsi="Arial Unicode MS"/>
                <w:color w:val="990000"/>
              </w:rPr>
              <w:t>10</w:t>
            </w:r>
            <w:r w:rsidRPr="002E59EF">
              <w:rPr>
                <w:rFonts w:ascii="Arial Unicode MS" w:hAnsi="Arial Unicode MS"/>
                <w:color w:val="990000"/>
              </w:rPr>
              <w:t>年</w:t>
            </w:r>
            <w:r w:rsidR="00F121F7">
              <w:rPr>
                <w:rFonts w:ascii="Arial Unicode MS" w:hAnsi="Arial Unicode MS"/>
                <w:color w:val="990000"/>
              </w:rPr>
              <w:t>6</w:t>
            </w:r>
            <w:r w:rsidRPr="002E59EF">
              <w:rPr>
                <w:rFonts w:ascii="Arial Unicode MS" w:hAnsi="Arial Unicode MS"/>
                <w:color w:val="990000"/>
              </w:rPr>
              <w:t>月</w:t>
            </w:r>
            <w:r>
              <w:rPr>
                <w:rFonts w:ascii="Arial Unicode MS" w:hAnsi="Arial Unicode MS" w:hint="eastAsia"/>
                <w:color w:val="990000"/>
              </w:rPr>
              <w:t>2</w:t>
            </w:r>
            <w:r w:rsidR="00F121F7">
              <w:rPr>
                <w:rFonts w:ascii="Arial Unicode MS" w:hAnsi="Arial Unicode MS"/>
                <w:color w:val="990000"/>
              </w:rPr>
              <w:t>5</w:t>
            </w:r>
            <w:r w:rsidRPr="002E59EF">
              <w:rPr>
                <w:rFonts w:ascii="Arial Unicode MS" w:hAnsi="Arial Unicode MS"/>
                <w:color w:val="990000"/>
              </w:rPr>
              <w:t>日</w:t>
            </w:r>
          </w:p>
        </w:tc>
      </w:tr>
    </w:tbl>
    <w:p w14:paraId="0211ABE5" w14:textId="36143468" w:rsidR="00FC5363" w:rsidRPr="006254EE" w:rsidRDefault="00D81359" w:rsidP="00D81359">
      <w:pPr>
        <w:ind w:rightChars="8" w:right="16"/>
        <w:jc w:val="center"/>
        <w:rPr>
          <w:rFonts w:ascii="Arial Unicode MS" w:hAnsi="Arial Unicode MS"/>
          <w:color w:val="808080"/>
          <w:sz w:val="18"/>
          <w:u w:val="single"/>
        </w:rPr>
      </w:pPr>
      <w:r w:rsidRPr="006254EE">
        <w:rPr>
          <w:rFonts w:ascii="Arial Unicode MS" w:hAnsi="Arial Unicode MS" w:hint="eastAsia"/>
          <w:color w:val="FFFFFF"/>
          <w:sz w:val="18"/>
          <w:szCs w:val="20"/>
        </w:rPr>
        <w:t>‧</w:t>
      </w:r>
      <w:hyperlink r:id="rId13" w:anchor="傳染病流行疫情嚴重期間司法程序特別條例" w:history="1">
        <w:r w:rsidRPr="006254EE">
          <w:rPr>
            <w:rStyle w:val="a3"/>
            <w:rFonts w:ascii="Arial Unicode MS" w:hAnsi="Arial Unicode MS" w:hint="eastAsia"/>
            <w:sz w:val="18"/>
          </w:rPr>
          <w:t>S-link</w:t>
        </w:r>
        <w:r w:rsidRPr="006254EE">
          <w:rPr>
            <w:rStyle w:val="a3"/>
            <w:rFonts w:ascii="Arial Unicode MS" w:hAnsi="Arial Unicode MS" w:hint="eastAsia"/>
            <w:sz w:val="18"/>
          </w:rPr>
          <w:t>總索引</w:t>
        </w:r>
      </w:hyperlink>
      <w:r w:rsidR="00DD42DD">
        <w:rPr>
          <w:rFonts w:ascii="Arial Unicode MS" w:hAnsi="Arial Unicode MS" w:hint="eastAsia"/>
          <w:b/>
          <w:color w:val="5F5F5F"/>
          <w:sz w:val="18"/>
          <w:szCs w:val="20"/>
        </w:rPr>
        <w:t>〉〉</w:t>
      </w:r>
      <w:hyperlink r:id="rId14" w:tgtFrame="_blank" w:history="1">
        <w:r w:rsidRPr="006254EE">
          <w:rPr>
            <w:rStyle w:val="a3"/>
            <w:rFonts w:ascii="Arial Unicode MS" w:hAnsi="Arial Unicode MS" w:hint="eastAsia"/>
            <w:sz w:val="18"/>
          </w:rPr>
          <w:t>線上網頁版</w:t>
        </w:r>
      </w:hyperlink>
      <w:r w:rsidR="00DD42DD">
        <w:rPr>
          <w:rFonts w:ascii="Arial Unicode MS" w:hAnsi="Arial Unicode MS" w:hint="eastAsia"/>
          <w:b/>
          <w:color w:val="5F5F5F"/>
          <w:sz w:val="18"/>
          <w:szCs w:val="20"/>
        </w:rPr>
        <w:t>〉〉</w:t>
      </w:r>
    </w:p>
    <w:p w14:paraId="7AFC1AF9" w14:textId="77777777" w:rsidR="00A6011A" w:rsidRPr="000F3EA3" w:rsidRDefault="00A6011A" w:rsidP="00237F62">
      <w:pPr>
        <w:pStyle w:val="1"/>
        <w:rPr>
          <w:color w:val="990000"/>
        </w:rPr>
      </w:pPr>
      <w:r w:rsidRPr="000F3EA3">
        <w:rPr>
          <w:color w:val="990000"/>
        </w:rPr>
        <w:t>【</w:t>
      </w:r>
      <w:r w:rsidRPr="000F3EA3">
        <w:rPr>
          <w:rFonts w:hint="eastAsia"/>
          <w:color w:val="990000"/>
        </w:rPr>
        <w:t>法規沿革</w:t>
      </w:r>
      <w:r w:rsidRPr="000F3EA3">
        <w:rPr>
          <w:color w:val="990000"/>
        </w:rPr>
        <w:t>】</w:t>
      </w:r>
    </w:p>
    <w:p w14:paraId="34A3B7CC" w14:textId="3A98DEC3" w:rsidR="00A6011A" w:rsidRDefault="00F43973" w:rsidP="00A42023">
      <w:pPr>
        <w:ind w:leftChars="75" w:left="150"/>
        <w:jc w:val="both"/>
        <w:rPr>
          <w:rFonts w:ascii="Arial Unicode MS" w:hAnsi="Arial Unicode MS"/>
          <w:bCs/>
          <w:color w:val="666699"/>
          <w:sz w:val="18"/>
        </w:rPr>
      </w:pPr>
      <w:r w:rsidRPr="00D7424C">
        <w:rPr>
          <w:rFonts w:ascii="Arial Unicode MS" w:hAnsi="Arial Unicode MS" w:hint="eastAsia"/>
          <w:b/>
          <w:bCs/>
          <w:color w:val="666699"/>
          <w:sz w:val="18"/>
        </w:rPr>
        <w:t>1</w:t>
      </w:r>
      <w:r w:rsidR="00EC1889">
        <w:rPr>
          <w:rFonts w:ascii="Arial Unicode MS" w:hAnsi="Arial Unicode MS" w:hint="eastAsia"/>
          <w:b/>
          <w:bCs/>
          <w:color w:val="666699"/>
          <w:sz w:val="18"/>
        </w:rPr>
        <w:t>‧</w:t>
      </w:r>
      <w:r w:rsidR="00A42023" w:rsidRPr="00A42023">
        <w:rPr>
          <w:rFonts w:ascii="Arial Unicode MS" w:hAnsi="Arial Unicode MS" w:hint="eastAsia"/>
          <w:bCs/>
          <w:color w:val="666699"/>
          <w:sz w:val="18"/>
        </w:rPr>
        <w:t>中華民國一百十年六月二十五日總統華總一義字第</w:t>
      </w:r>
      <w:r w:rsidR="00A42023" w:rsidRPr="00A42023">
        <w:rPr>
          <w:rFonts w:ascii="Arial Unicode MS" w:hAnsi="Arial Unicode MS" w:hint="eastAsia"/>
          <w:bCs/>
          <w:color w:val="666699"/>
          <w:sz w:val="18"/>
        </w:rPr>
        <w:t>11000058791</w:t>
      </w:r>
      <w:r w:rsidR="00A42023" w:rsidRPr="00A42023">
        <w:rPr>
          <w:rFonts w:ascii="Arial Unicode MS" w:hAnsi="Arial Unicode MS" w:hint="eastAsia"/>
          <w:bCs/>
          <w:color w:val="666699"/>
          <w:sz w:val="18"/>
        </w:rPr>
        <w:t>號令制定公布全文</w:t>
      </w:r>
      <w:r w:rsidR="00A42023" w:rsidRPr="00A42023">
        <w:rPr>
          <w:rFonts w:ascii="Arial Unicode MS" w:hAnsi="Arial Unicode MS" w:hint="eastAsia"/>
          <w:bCs/>
          <w:color w:val="666699"/>
          <w:sz w:val="18"/>
        </w:rPr>
        <w:t>13</w:t>
      </w:r>
      <w:r w:rsidR="00A42023" w:rsidRPr="00A42023">
        <w:rPr>
          <w:rFonts w:ascii="Arial Unicode MS" w:hAnsi="Arial Unicode MS" w:hint="eastAsia"/>
          <w:bCs/>
          <w:color w:val="666699"/>
          <w:sz w:val="18"/>
        </w:rPr>
        <w:t>條；並自公布日施行，至一百十二年六月三十日止，施行期間屆滿，得經立法院同意延長之</w:t>
      </w:r>
    </w:p>
    <w:p w14:paraId="4D26D46B" w14:textId="77777777" w:rsidR="00F121F7" w:rsidRPr="00BC58F8" w:rsidRDefault="00F121F7" w:rsidP="00F121F7">
      <w:pPr>
        <w:ind w:left="142"/>
        <w:jc w:val="both"/>
        <w:rPr>
          <w:rFonts w:ascii="新細明體" w:hAnsi="新細明體"/>
        </w:rPr>
      </w:pPr>
    </w:p>
    <w:p w14:paraId="65AFFC83" w14:textId="77777777" w:rsidR="00F121F7" w:rsidRPr="00EC1AA0" w:rsidRDefault="00F121F7" w:rsidP="00F121F7">
      <w:pPr>
        <w:pStyle w:val="1"/>
        <w:rPr>
          <w:color w:val="990000"/>
        </w:rPr>
      </w:pPr>
      <w:bookmarkStart w:id="1" w:name="a章節索引"/>
      <w:bookmarkEnd w:id="1"/>
      <w:r w:rsidRPr="00EC1AA0">
        <w:rPr>
          <w:color w:val="990000"/>
        </w:rPr>
        <w:t>【</w:t>
      </w:r>
      <w:r w:rsidRPr="00EC1AA0">
        <w:rPr>
          <w:rFonts w:hint="eastAsia"/>
          <w:color w:val="990000"/>
        </w:rPr>
        <w:t>章節索引</w:t>
      </w:r>
      <w:r w:rsidRPr="00EC1AA0">
        <w:rPr>
          <w:color w:val="990000"/>
        </w:rPr>
        <w:t>】</w:t>
      </w:r>
    </w:p>
    <w:p w14:paraId="56FF5168" w14:textId="4B3542EC" w:rsidR="00F121F7" w:rsidRPr="00F121F7" w:rsidRDefault="00F121F7" w:rsidP="00F121F7">
      <w:pPr>
        <w:ind w:leftChars="75" w:left="150"/>
        <w:jc w:val="both"/>
        <w:rPr>
          <w:rFonts w:ascii="Arial Unicode MS" w:hAnsi="Arial Unicode MS"/>
          <w:bCs/>
          <w:color w:val="990000"/>
          <w:szCs w:val="26"/>
        </w:rPr>
      </w:pPr>
      <w:r w:rsidRPr="00F121F7">
        <w:rPr>
          <w:rFonts w:ascii="Arial Unicode MS" w:hAnsi="Arial Unicode MS" w:hint="eastAsia"/>
          <w:bCs/>
          <w:color w:val="990000"/>
          <w:szCs w:val="26"/>
        </w:rPr>
        <w:t xml:space="preserve">第一章　</w:t>
      </w:r>
      <w:hyperlink w:anchor="_第一章__總則" w:history="1">
        <w:r w:rsidRPr="00BA44A4">
          <w:rPr>
            <w:rStyle w:val="a3"/>
            <w:rFonts w:ascii="Arial Unicode MS" w:hAnsi="Arial Unicode MS" w:hint="eastAsia"/>
            <w:bCs/>
            <w:szCs w:val="26"/>
          </w:rPr>
          <w:t>總則</w:t>
        </w:r>
      </w:hyperlink>
      <w:r w:rsidRPr="00F121F7">
        <w:rPr>
          <w:rFonts w:ascii="Arial Unicode MS" w:hAnsi="Arial Unicode MS" w:hint="eastAsia"/>
          <w:bCs/>
          <w:color w:val="990000"/>
          <w:szCs w:val="26"/>
        </w:rPr>
        <w:t xml:space="preserve">　§</w:t>
      </w:r>
      <w:r w:rsidRPr="00F121F7">
        <w:rPr>
          <w:rFonts w:ascii="Arial Unicode MS" w:hAnsi="Arial Unicode MS" w:hint="eastAsia"/>
          <w:bCs/>
          <w:color w:val="990000"/>
          <w:szCs w:val="26"/>
        </w:rPr>
        <w:t>1</w:t>
      </w:r>
    </w:p>
    <w:p w14:paraId="1BE2E3F7" w14:textId="763AE835" w:rsidR="00F121F7" w:rsidRPr="00F121F7" w:rsidRDefault="00F121F7" w:rsidP="00F121F7">
      <w:pPr>
        <w:ind w:leftChars="75" w:left="150"/>
        <w:jc w:val="both"/>
        <w:rPr>
          <w:rFonts w:ascii="Arial Unicode MS" w:hAnsi="Arial Unicode MS"/>
          <w:bCs/>
          <w:color w:val="990000"/>
          <w:szCs w:val="26"/>
        </w:rPr>
      </w:pPr>
      <w:r w:rsidRPr="00F121F7">
        <w:rPr>
          <w:rFonts w:ascii="Arial Unicode MS" w:hAnsi="Arial Unicode MS" w:hint="eastAsia"/>
          <w:bCs/>
          <w:color w:val="990000"/>
          <w:szCs w:val="26"/>
        </w:rPr>
        <w:t xml:space="preserve">第二章　</w:t>
      </w:r>
      <w:hyperlink w:anchor="_第二章__刑事案件及少年事件" w:history="1">
        <w:r w:rsidRPr="00BA44A4">
          <w:rPr>
            <w:rStyle w:val="a3"/>
            <w:rFonts w:ascii="Arial Unicode MS" w:hAnsi="Arial Unicode MS" w:hint="eastAsia"/>
            <w:bCs/>
            <w:szCs w:val="26"/>
          </w:rPr>
          <w:t>刑事案件及少年事件</w:t>
        </w:r>
      </w:hyperlink>
      <w:r w:rsidRPr="00F121F7">
        <w:rPr>
          <w:rFonts w:ascii="Arial Unicode MS" w:hAnsi="Arial Unicode MS" w:hint="eastAsia"/>
          <w:bCs/>
          <w:color w:val="990000"/>
          <w:szCs w:val="26"/>
        </w:rPr>
        <w:t xml:space="preserve">　§</w:t>
      </w:r>
      <w:r w:rsidR="00BA44A4">
        <w:rPr>
          <w:rFonts w:ascii="Arial Unicode MS" w:hAnsi="Arial Unicode MS"/>
          <w:bCs/>
          <w:color w:val="990000"/>
          <w:szCs w:val="26"/>
        </w:rPr>
        <w:t>4</w:t>
      </w:r>
    </w:p>
    <w:p w14:paraId="6A5044C2" w14:textId="0F1743B5" w:rsidR="00F121F7" w:rsidRPr="00F121F7" w:rsidRDefault="00F121F7" w:rsidP="00F121F7">
      <w:pPr>
        <w:ind w:leftChars="75" w:left="150"/>
        <w:jc w:val="both"/>
        <w:rPr>
          <w:rFonts w:ascii="Arial Unicode MS" w:hAnsi="Arial Unicode MS"/>
          <w:bCs/>
          <w:color w:val="990000"/>
          <w:szCs w:val="26"/>
        </w:rPr>
      </w:pPr>
      <w:r w:rsidRPr="00F121F7">
        <w:rPr>
          <w:rFonts w:ascii="Arial Unicode MS" w:hAnsi="Arial Unicode MS" w:hint="eastAsia"/>
          <w:bCs/>
          <w:color w:val="990000"/>
          <w:szCs w:val="26"/>
        </w:rPr>
        <w:t xml:space="preserve">第三章　</w:t>
      </w:r>
      <w:hyperlink w:anchor="_第三章__民事及家事事件" w:history="1">
        <w:r w:rsidRPr="00BA44A4">
          <w:rPr>
            <w:rStyle w:val="a3"/>
            <w:rFonts w:ascii="Arial Unicode MS" w:hAnsi="Arial Unicode MS" w:hint="eastAsia"/>
            <w:bCs/>
            <w:szCs w:val="26"/>
          </w:rPr>
          <w:t>民事及家事事件</w:t>
        </w:r>
      </w:hyperlink>
      <w:r w:rsidRPr="00F121F7">
        <w:rPr>
          <w:rFonts w:ascii="Arial Unicode MS" w:hAnsi="Arial Unicode MS" w:hint="eastAsia"/>
          <w:bCs/>
          <w:color w:val="990000"/>
          <w:szCs w:val="26"/>
        </w:rPr>
        <w:t xml:space="preserve">　§</w:t>
      </w:r>
      <w:r w:rsidR="00BA44A4">
        <w:rPr>
          <w:rFonts w:ascii="Arial Unicode MS" w:hAnsi="Arial Unicode MS"/>
          <w:bCs/>
          <w:color w:val="990000"/>
          <w:szCs w:val="26"/>
        </w:rPr>
        <w:t>8</w:t>
      </w:r>
    </w:p>
    <w:p w14:paraId="246AB200" w14:textId="47DB0D33" w:rsidR="00F121F7" w:rsidRPr="00F121F7" w:rsidRDefault="00F121F7" w:rsidP="00F121F7">
      <w:pPr>
        <w:ind w:leftChars="75" w:left="150"/>
        <w:jc w:val="both"/>
        <w:rPr>
          <w:rFonts w:ascii="Arial Unicode MS" w:hAnsi="Arial Unicode MS"/>
          <w:bCs/>
          <w:color w:val="990000"/>
          <w:szCs w:val="26"/>
        </w:rPr>
      </w:pPr>
      <w:r w:rsidRPr="00F121F7">
        <w:rPr>
          <w:rFonts w:ascii="Arial Unicode MS" w:hAnsi="Arial Unicode MS" w:hint="eastAsia"/>
          <w:bCs/>
          <w:color w:val="990000"/>
          <w:szCs w:val="26"/>
        </w:rPr>
        <w:t xml:space="preserve">第四章　</w:t>
      </w:r>
      <w:hyperlink w:anchor="_第四章__行政訴訟事件、公務員懲戒案件及職務法庭案件" w:history="1">
        <w:r w:rsidRPr="00BA44A4">
          <w:rPr>
            <w:rStyle w:val="a3"/>
            <w:rFonts w:ascii="Arial Unicode MS" w:hAnsi="Arial Unicode MS" w:hint="eastAsia"/>
            <w:bCs/>
            <w:szCs w:val="26"/>
          </w:rPr>
          <w:t>行政訴訟事件、公務員懲戒案件及職務法庭案件</w:t>
        </w:r>
      </w:hyperlink>
      <w:r w:rsidRPr="00F121F7">
        <w:rPr>
          <w:rFonts w:ascii="Arial Unicode MS" w:hAnsi="Arial Unicode MS" w:hint="eastAsia"/>
          <w:bCs/>
          <w:color w:val="990000"/>
          <w:szCs w:val="26"/>
        </w:rPr>
        <w:t xml:space="preserve">　§</w:t>
      </w:r>
      <w:r w:rsidRPr="00F121F7">
        <w:rPr>
          <w:rFonts w:ascii="Arial Unicode MS" w:hAnsi="Arial Unicode MS" w:hint="eastAsia"/>
          <w:bCs/>
          <w:color w:val="990000"/>
          <w:szCs w:val="26"/>
        </w:rPr>
        <w:t>1</w:t>
      </w:r>
      <w:r w:rsidR="00BA44A4">
        <w:rPr>
          <w:rFonts w:ascii="Arial Unicode MS" w:hAnsi="Arial Unicode MS"/>
          <w:bCs/>
          <w:color w:val="990000"/>
          <w:szCs w:val="26"/>
        </w:rPr>
        <w:t>1</w:t>
      </w:r>
    </w:p>
    <w:p w14:paraId="687FEAFA" w14:textId="2AC64A43" w:rsidR="00F121F7" w:rsidRPr="00E623BE" w:rsidRDefault="00F121F7" w:rsidP="00A42023">
      <w:pPr>
        <w:ind w:leftChars="75" w:left="150"/>
        <w:jc w:val="both"/>
        <w:rPr>
          <w:rFonts w:ascii="Arial Unicode MS" w:hAnsi="Arial Unicode MS"/>
          <w:b/>
          <w:bCs/>
          <w:color w:val="666699"/>
          <w:sz w:val="18"/>
        </w:rPr>
      </w:pPr>
      <w:r w:rsidRPr="00F121F7">
        <w:rPr>
          <w:rFonts w:ascii="Arial Unicode MS" w:hAnsi="Arial Unicode MS" w:hint="eastAsia"/>
          <w:bCs/>
          <w:color w:val="990000"/>
          <w:szCs w:val="26"/>
        </w:rPr>
        <w:t xml:space="preserve">第五章　</w:t>
      </w:r>
      <w:hyperlink w:anchor="_第五章__附則" w:history="1">
        <w:r w:rsidRPr="00BA44A4">
          <w:rPr>
            <w:rStyle w:val="a3"/>
            <w:rFonts w:ascii="Arial Unicode MS" w:hAnsi="Arial Unicode MS" w:hint="eastAsia"/>
            <w:bCs/>
            <w:szCs w:val="26"/>
          </w:rPr>
          <w:t>附則</w:t>
        </w:r>
      </w:hyperlink>
      <w:r w:rsidRPr="00F121F7">
        <w:rPr>
          <w:rFonts w:ascii="Arial Unicode MS" w:hAnsi="Arial Unicode MS" w:hint="eastAsia"/>
          <w:bCs/>
          <w:color w:val="990000"/>
          <w:szCs w:val="26"/>
        </w:rPr>
        <w:t xml:space="preserve">　§</w:t>
      </w:r>
      <w:r w:rsidRPr="00F121F7">
        <w:rPr>
          <w:rFonts w:ascii="Arial Unicode MS" w:hAnsi="Arial Unicode MS" w:hint="eastAsia"/>
          <w:bCs/>
          <w:color w:val="990000"/>
          <w:szCs w:val="26"/>
        </w:rPr>
        <w:t>1</w:t>
      </w:r>
      <w:r w:rsidR="00BA44A4">
        <w:rPr>
          <w:rFonts w:ascii="Arial Unicode MS" w:hAnsi="Arial Unicode MS"/>
          <w:bCs/>
          <w:color w:val="990000"/>
          <w:szCs w:val="26"/>
        </w:rPr>
        <w:t>3</w:t>
      </w:r>
    </w:p>
    <w:p w14:paraId="1014C348" w14:textId="77777777" w:rsidR="00845988" w:rsidRPr="003555EC" w:rsidRDefault="00845988" w:rsidP="0099154E">
      <w:pPr>
        <w:ind w:leftChars="75" w:left="150"/>
        <w:jc w:val="both"/>
        <w:rPr>
          <w:rFonts w:ascii="Arial Unicode MS" w:hAnsi="Arial Unicode MS"/>
          <w:b/>
          <w:bCs/>
          <w:color w:val="800000"/>
        </w:rPr>
      </w:pPr>
    </w:p>
    <w:p w14:paraId="07945DC7" w14:textId="57883336" w:rsidR="00A6011A" w:rsidRPr="000F3EA3" w:rsidRDefault="00BC58F8" w:rsidP="00237F62">
      <w:pPr>
        <w:pStyle w:val="1"/>
        <w:rPr>
          <w:color w:val="990000"/>
        </w:rPr>
      </w:pPr>
      <w:r>
        <w:rPr>
          <w:color w:val="990000"/>
        </w:rPr>
        <w:t>【法規內容】</w:t>
      </w:r>
    </w:p>
    <w:p w14:paraId="6CDA88A9" w14:textId="5F6686F0" w:rsidR="00237F62" w:rsidRPr="00237F62" w:rsidRDefault="00237F62" w:rsidP="000845DE">
      <w:pPr>
        <w:pStyle w:val="1"/>
        <w:jc w:val="both"/>
      </w:pPr>
      <w:bookmarkStart w:id="2" w:name="_第一章__總則"/>
      <w:bookmarkEnd w:id="2"/>
      <w:r w:rsidRPr="00237F62">
        <w:t>第一章　　總則</w:t>
      </w:r>
    </w:p>
    <w:p w14:paraId="1023A829" w14:textId="77777777" w:rsidR="00BC58F8" w:rsidRDefault="00237F62" w:rsidP="000845DE">
      <w:pPr>
        <w:pStyle w:val="2"/>
        <w:jc w:val="both"/>
      </w:pPr>
      <w:bookmarkStart w:id="3" w:name="a1"/>
      <w:bookmarkEnd w:id="3"/>
      <w:r w:rsidRPr="00F121F7">
        <w:t>第</w:t>
      </w:r>
      <w:r w:rsidRPr="00F121F7">
        <w:t>1</w:t>
      </w:r>
      <w:r w:rsidR="00BC58F8">
        <w:t>條</w:t>
      </w:r>
    </w:p>
    <w:p w14:paraId="6DA6B69A" w14:textId="033695ED" w:rsidR="00237F62" w:rsidRPr="00237F62" w:rsidRDefault="00BC58F8" w:rsidP="000845DE">
      <w:pPr>
        <w:ind w:left="142"/>
        <w:jc w:val="both"/>
        <w:rPr>
          <w:color w:val="17365D"/>
        </w:rPr>
      </w:pPr>
      <w:r w:rsidRPr="00BC58F8">
        <w:rPr>
          <w:color w:val="404040" w:themeColor="text1" w:themeTint="BF"/>
          <w:sz w:val="18"/>
        </w:rPr>
        <w:t>﹝</w:t>
      </w:r>
      <w:r w:rsidRPr="00BC58F8">
        <w:rPr>
          <w:color w:val="404040" w:themeColor="text1" w:themeTint="BF"/>
          <w:sz w:val="18"/>
        </w:rPr>
        <w:t>1</w:t>
      </w:r>
      <w:r w:rsidRPr="00BC58F8">
        <w:rPr>
          <w:color w:val="404040" w:themeColor="text1" w:themeTint="BF"/>
          <w:sz w:val="18"/>
        </w:rPr>
        <w:t>﹞</w:t>
      </w:r>
      <w:r w:rsidR="00237F62" w:rsidRPr="00237F62">
        <w:rPr>
          <w:color w:val="17365D"/>
        </w:rPr>
        <w:t>於傳染病流行疫情嚴重期間，為維持司法程序之有效進行，保障當事人受妥速及公平審判之權利，並維護程序參與者之健康及安全，特制定本條例。</w:t>
      </w:r>
    </w:p>
    <w:p w14:paraId="247DB9E7" w14:textId="77777777" w:rsidR="00BC58F8" w:rsidRDefault="00237F62" w:rsidP="000845DE">
      <w:pPr>
        <w:pStyle w:val="2"/>
        <w:jc w:val="both"/>
      </w:pPr>
      <w:bookmarkStart w:id="4" w:name="a2"/>
      <w:bookmarkEnd w:id="4"/>
      <w:r w:rsidRPr="00237F62">
        <w:t>第</w:t>
      </w:r>
      <w:r w:rsidRPr="00237F62">
        <w:t>2</w:t>
      </w:r>
      <w:r w:rsidR="00BC58F8">
        <w:t>條</w:t>
      </w:r>
    </w:p>
    <w:p w14:paraId="066CFB79" w14:textId="1ECFB20B" w:rsidR="00BC58F8" w:rsidRDefault="00BC58F8" w:rsidP="000845DE">
      <w:pPr>
        <w:ind w:left="142"/>
        <w:jc w:val="both"/>
        <w:rPr>
          <w:color w:val="17365D"/>
        </w:rPr>
      </w:pPr>
      <w:r w:rsidRPr="00BC58F8">
        <w:rPr>
          <w:color w:val="404040" w:themeColor="text1" w:themeTint="BF"/>
          <w:sz w:val="18"/>
        </w:rPr>
        <w:t>﹝</w:t>
      </w:r>
      <w:r w:rsidRPr="00BC58F8">
        <w:rPr>
          <w:color w:val="404040" w:themeColor="text1" w:themeTint="BF"/>
          <w:sz w:val="18"/>
        </w:rPr>
        <w:t>1</w:t>
      </w:r>
      <w:r w:rsidRPr="00BC58F8">
        <w:rPr>
          <w:color w:val="404040" w:themeColor="text1" w:themeTint="BF"/>
          <w:sz w:val="18"/>
        </w:rPr>
        <w:t>﹞</w:t>
      </w:r>
      <w:r w:rsidR="00237F62" w:rsidRPr="00237F62">
        <w:rPr>
          <w:color w:val="17365D"/>
        </w:rPr>
        <w:t>本條例之規定，於傳染病流行疫情嚴重期間適用之</w:t>
      </w:r>
      <w:r>
        <w:rPr>
          <w:color w:val="17365D"/>
        </w:rPr>
        <w:t>。</w:t>
      </w:r>
    </w:p>
    <w:p w14:paraId="028DA077" w14:textId="698042AA" w:rsidR="00BC58F8" w:rsidRDefault="00BC58F8" w:rsidP="000845DE">
      <w:pPr>
        <w:ind w:left="142"/>
        <w:jc w:val="both"/>
        <w:rPr>
          <w:color w:val="17365D"/>
        </w:rPr>
      </w:pPr>
      <w:r w:rsidRPr="00BC58F8">
        <w:rPr>
          <w:color w:val="404040" w:themeColor="text1" w:themeTint="BF"/>
          <w:sz w:val="18"/>
        </w:rPr>
        <w:t>﹝</w:t>
      </w:r>
      <w:r w:rsidRPr="00BC58F8">
        <w:rPr>
          <w:color w:val="404040" w:themeColor="text1" w:themeTint="BF"/>
          <w:sz w:val="18"/>
        </w:rPr>
        <w:t>2</w:t>
      </w:r>
      <w:r w:rsidRPr="00BC58F8">
        <w:rPr>
          <w:color w:val="404040" w:themeColor="text1" w:themeTint="BF"/>
          <w:sz w:val="18"/>
        </w:rPr>
        <w:t>﹞</w:t>
      </w:r>
      <w:r w:rsidRPr="00F121F7">
        <w:rPr>
          <w:color w:val="666699"/>
        </w:rPr>
        <w:t>前項期間，係指為控制傳染病之蔓延，依</w:t>
      </w:r>
      <w:hyperlink r:id="rId15" w:history="1">
        <w:r w:rsidRPr="00E07B6C">
          <w:rPr>
            <w:rStyle w:val="a3"/>
            <w:rFonts w:ascii="Times New Roman" w:hAnsi="Times New Roman"/>
          </w:rPr>
          <w:t>傳染病防治法</w:t>
        </w:r>
      </w:hyperlink>
      <w:r w:rsidRPr="00F121F7">
        <w:rPr>
          <w:color w:val="666699"/>
        </w:rPr>
        <w:t>之中央主管機關實施之相關措施辦理，致影響司法程序有效進行，經司法院審酌有適用本條例因應之必要，並會同行政院核定之期間</w:t>
      </w:r>
      <w:r>
        <w:rPr>
          <w:color w:val="17365D"/>
        </w:rPr>
        <w:t>。</w:t>
      </w:r>
    </w:p>
    <w:p w14:paraId="48AACAA7" w14:textId="7161A39E" w:rsidR="00237F62" w:rsidRPr="00237F62" w:rsidRDefault="00BC58F8" w:rsidP="000845DE">
      <w:pPr>
        <w:ind w:left="142"/>
        <w:jc w:val="both"/>
        <w:rPr>
          <w:color w:val="17365D"/>
        </w:rPr>
      </w:pPr>
      <w:r w:rsidRPr="00BC58F8">
        <w:rPr>
          <w:color w:val="404040" w:themeColor="text1" w:themeTint="BF"/>
          <w:sz w:val="18"/>
        </w:rPr>
        <w:t>﹝</w:t>
      </w:r>
      <w:r w:rsidRPr="00BC58F8">
        <w:rPr>
          <w:color w:val="404040" w:themeColor="text1" w:themeTint="BF"/>
          <w:sz w:val="18"/>
        </w:rPr>
        <w:t>3</w:t>
      </w:r>
      <w:r w:rsidRPr="00BC58F8">
        <w:rPr>
          <w:color w:val="404040" w:themeColor="text1" w:themeTint="BF"/>
          <w:sz w:val="18"/>
        </w:rPr>
        <w:t>﹞</w:t>
      </w:r>
      <w:r w:rsidR="00237F62" w:rsidRPr="00237F62">
        <w:rPr>
          <w:color w:val="17365D"/>
        </w:rPr>
        <w:t>前項核定，應併指定其施行之地區。</w:t>
      </w:r>
    </w:p>
    <w:p w14:paraId="0D17AB52" w14:textId="77777777" w:rsidR="00BC58F8" w:rsidRDefault="00237F62" w:rsidP="000845DE">
      <w:pPr>
        <w:pStyle w:val="2"/>
        <w:jc w:val="both"/>
      </w:pPr>
      <w:bookmarkStart w:id="5" w:name="a3"/>
      <w:bookmarkEnd w:id="5"/>
      <w:r w:rsidRPr="00237F62">
        <w:t>第</w:t>
      </w:r>
      <w:r w:rsidRPr="00237F62">
        <w:t>3</w:t>
      </w:r>
      <w:r w:rsidR="00BC58F8">
        <w:t>條</w:t>
      </w:r>
    </w:p>
    <w:p w14:paraId="0F1AD298" w14:textId="1CF1AA10" w:rsidR="00237F62" w:rsidRPr="00237F62" w:rsidRDefault="00BC58F8" w:rsidP="000845DE">
      <w:pPr>
        <w:ind w:left="142"/>
        <w:jc w:val="both"/>
        <w:rPr>
          <w:color w:val="17365D"/>
        </w:rPr>
      </w:pPr>
      <w:r w:rsidRPr="00BC58F8">
        <w:rPr>
          <w:color w:val="404040" w:themeColor="text1" w:themeTint="BF"/>
          <w:sz w:val="18"/>
        </w:rPr>
        <w:t>﹝</w:t>
      </w:r>
      <w:r w:rsidRPr="00BC58F8">
        <w:rPr>
          <w:color w:val="404040" w:themeColor="text1" w:themeTint="BF"/>
          <w:sz w:val="18"/>
        </w:rPr>
        <w:t>1</w:t>
      </w:r>
      <w:r w:rsidRPr="00BC58F8">
        <w:rPr>
          <w:color w:val="404040" w:themeColor="text1" w:themeTint="BF"/>
          <w:sz w:val="18"/>
        </w:rPr>
        <w:t>﹞</w:t>
      </w:r>
      <w:r w:rsidR="00237F62" w:rsidRPr="00237F62">
        <w:rPr>
          <w:color w:val="17365D"/>
        </w:rPr>
        <w:t>法院在符合法院組織法第</w:t>
      </w:r>
      <w:hyperlink r:id="rId16" w:anchor="a86" w:history="1">
        <w:r w:rsidR="00237F62" w:rsidRPr="000E490F">
          <w:rPr>
            <w:rStyle w:val="a3"/>
            <w:rFonts w:ascii="Times New Roman" w:hAnsi="Times New Roman"/>
          </w:rPr>
          <w:t>八十六</w:t>
        </w:r>
      </w:hyperlink>
      <w:r w:rsidR="00237F62" w:rsidRPr="00237F62">
        <w:rPr>
          <w:color w:val="17365D"/>
        </w:rPr>
        <w:t>條及其他關於公開審理法令規定之情形下，得實施下列處置或措施，不受其他法律有關規定之限制：</w:t>
      </w:r>
    </w:p>
    <w:p w14:paraId="62F75153" w14:textId="77777777" w:rsidR="00BC58F8" w:rsidRDefault="00237F62" w:rsidP="000845DE">
      <w:pPr>
        <w:ind w:left="142"/>
        <w:jc w:val="both"/>
        <w:rPr>
          <w:color w:val="17365D"/>
        </w:rPr>
      </w:pPr>
      <w:r w:rsidRPr="00237F62">
        <w:rPr>
          <w:color w:val="17365D"/>
        </w:rPr>
        <w:t xml:space="preserve">　　一、關於法庭席位、旁聽及服制，得實施必要之應變處置或措施</w:t>
      </w:r>
      <w:r w:rsidR="00BC58F8">
        <w:rPr>
          <w:color w:val="17365D"/>
        </w:rPr>
        <w:t>。</w:t>
      </w:r>
    </w:p>
    <w:p w14:paraId="1C65BDE9" w14:textId="4CAB4B4C" w:rsidR="00BC58F8" w:rsidRDefault="00BC58F8" w:rsidP="000845DE">
      <w:pPr>
        <w:ind w:left="142"/>
        <w:jc w:val="both"/>
        <w:rPr>
          <w:color w:val="17365D"/>
        </w:rPr>
      </w:pPr>
      <w:r>
        <w:rPr>
          <w:color w:val="17365D"/>
        </w:rPr>
        <w:t xml:space="preserve">　　</w:t>
      </w:r>
      <w:r w:rsidRPr="00237F62">
        <w:rPr>
          <w:color w:val="17365D"/>
        </w:rPr>
        <w:t>二</w:t>
      </w:r>
      <w:r>
        <w:rPr>
          <w:color w:val="17365D"/>
        </w:rPr>
        <w:t>、</w:t>
      </w:r>
      <w:r w:rsidR="00237F62" w:rsidRPr="00237F62">
        <w:rPr>
          <w:color w:val="17365D"/>
        </w:rPr>
        <w:t>必要時，得在管轄區域外指定地方臨時開庭</w:t>
      </w:r>
      <w:r>
        <w:rPr>
          <w:color w:val="17365D"/>
        </w:rPr>
        <w:t>。</w:t>
      </w:r>
    </w:p>
    <w:p w14:paraId="0D09F80A" w14:textId="7C3110EB" w:rsidR="00BC58F8" w:rsidRDefault="00BC58F8" w:rsidP="000845DE">
      <w:pPr>
        <w:ind w:left="142"/>
        <w:jc w:val="both"/>
        <w:rPr>
          <w:color w:val="17365D"/>
        </w:rPr>
      </w:pPr>
      <w:r>
        <w:rPr>
          <w:color w:val="17365D"/>
        </w:rPr>
        <w:t xml:space="preserve">　　</w:t>
      </w:r>
      <w:r w:rsidRPr="00237F62">
        <w:rPr>
          <w:color w:val="17365D"/>
        </w:rPr>
        <w:t>三</w:t>
      </w:r>
      <w:r>
        <w:rPr>
          <w:color w:val="17365D"/>
        </w:rPr>
        <w:t>、</w:t>
      </w:r>
      <w:r w:rsidR="00237F62" w:rsidRPr="00237F62">
        <w:rPr>
          <w:color w:val="17365D"/>
        </w:rPr>
        <w:t>必要時，得於法庭或前款之指定地方使用有聲音及影像傳送之科技設備宣示裁判</w:t>
      </w:r>
      <w:r>
        <w:rPr>
          <w:color w:val="17365D"/>
        </w:rPr>
        <w:t>。</w:t>
      </w:r>
    </w:p>
    <w:p w14:paraId="28C852EA" w14:textId="62562F54" w:rsidR="00F121F7" w:rsidRPr="00237F62" w:rsidRDefault="00BC58F8" w:rsidP="000845DE">
      <w:pPr>
        <w:ind w:left="142"/>
        <w:jc w:val="both"/>
        <w:rPr>
          <w:color w:val="17365D"/>
        </w:rPr>
      </w:pPr>
      <w:r>
        <w:rPr>
          <w:color w:val="17365D"/>
        </w:rPr>
        <w:t xml:space="preserve">　　　　</w:t>
      </w:r>
      <w:r w:rsidR="00BA44A4" w:rsidRPr="001049E7">
        <w:rPr>
          <w:rFonts w:hint="eastAsia"/>
        </w:rPr>
        <w:t xml:space="preserve">　　　　　　　　　　　　　　　　　　　　　　　　　　　　　　　　　　　　　　　　</w:t>
      </w:r>
      <w:hyperlink w:anchor="a章節索引" w:history="1">
        <w:r w:rsidR="00BA44A4" w:rsidRPr="003028F9">
          <w:rPr>
            <w:rStyle w:val="a3"/>
            <w:rFonts w:ascii="Arial Unicode MS" w:hAnsi="Arial Unicode MS" w:hint="eastAsia"/>
            <w:sz w:val="18"/>
          </w:rPr>
          <w:t>回索引</w:t>
        </w:r>
      </w:hyperlink>
      <w:r w:rsidR="00BA44A4">
        <w:rPr>
          <w:rFonts w:ascii="Arial Unicode MS" w:hAnsi="Arial Unicode MS" w:hint="eastAsia"/>
          <w:color w:val="808000"/>
          <w:sz w:val="18"/>
        </w:rPr>
        <w:t>〉〉</w:t>
      </w:r>
    </w:p>
    <w:p w14:paraId="38AE839D" w14:textId="77777777" w:rsidR="00237F62" w:rsidRPr="00237F62" w:rsidRDefault="00237F62" w:rsidP="000845DE">
      <w:pPr>
        <w:pStyle w:val="1"/>
        <w:jc w:val="both"/>
      </w:pPr>
      <w:bookmarkStart w:id="6" w:name="_第二章__刑事案件及少年事件"/>
      <w:bookmarkEnd w:id="6"/>
      <w:r w:rsidRPr="00237F62">
        <w:t>第二章　　刑事案件及少年事件</w:t>
      </w:r>
    </w:p>
    <w:p w14:paraId="63B13A07" w14:textId="77777777" w:rsidR="00BC58F8" w:rsidRDefault="00237F62" w:rsidP="000845DE">
      <w:pPr>
        <w:pStyle w:val="2"/>
        <w:jc w:val="both"/>
      </w:pPr>
      <w:bookmarkStart w:id="7" w:name="a4"/>
      <w:bookmarkEnd w:id="7"/>
      <w:r w:rsidRPr="00237F62">
        <w:t>第</w:t>
      </w:r>
      <w:r w:rsidRPr="00237F62">
        <w:t>4</w:t>
      </w:r>
      <w:r w:rsidR="00BC58F8">
        <w:t>條</w:t>
      </w:r>
    </w:p>
    <w:p w14:paraId="5C1762C2" w14:textId="298740AA" w:rsidR="00BC58F8" w:rsidRDefault="00BC58F8" w:rsidP="000845DE">
      <w:pPr>
        <w:ind w:left="142"/>
        <w:jc w:val="both"/>
        <w:rPr>
          <w:color w:val="17365D"/>
        </w:rPr>
      </w:pPr>
      <w:r w:rsidRPr="00BC58F8">
        <w:rPr>
          <w:color w:val="404040" w:themeColor="text1" w:themeTint="BF"/>
          <w:sz w:val="18"/>
        </w:rPr>
        <w:t>﹝</w:t>
      </w:r>
      <w:r w:rsidRPr="00BC58F8">
        <w:rPr>
          <w:color w:val="404040" w:themeColor="text1" w:themeTint="BF"/>
          <w:sz w:val="18"/>
        </w:rPr>
        <w:t>1</w:t>
      </w:r>
      <w:r w:rsidRPr="00BC58F8">
        <w:rPr>
          <w:color w:val="404040" w:themeColor="text1" w:themeTint="BF"/>
          <w:sz w:val="18"/>
        </w:rPr>
        <w:t>﹞</w:t>
      </w:r>
      <w:r w:rsidR="00237F62" w:rsidRPr="00237F62">
        <w:rPr>
          <w:color w:val="17365D"/>
        </w:rPr>
        <w:t>刑事案件當事人或訴訟關係人不能或不宜到場，且其所在與承審法院間有聲音及影像相互傳送之科技設備而</w:t>
      </w:r>
      <w:r w:rsidR="00237F62" w:rsidRPr="00237F62">
        <w:rPr>
          <w:color w:val="17365D"/>
        </w:rPr>
        <w:lastRenderedPageBreak/>
        <w:t>得直接訊問或陳述，經應受訊問之被告同意，且徵詢其他當事人及訴訟關係人之意見，法院認為無礙於被告能與辯護人在不受干預下充分自由溝通等防禦權之有效行使者，得依當事人或訴訟關係人之請求或依職權以該設備進行程序之一部或全部，不受</w:t>
      </w:r>
      <w:hyperlink r:id="rId17" w:history="1">
        <w:r w:rsidR="00237F62" w:rsidRPr="00FF02CE">
          <w:rPr>
            <w:rStyle w:val="a3"/>
            <w:rFonts w:ascii="Times New Roman" w:hAnsi="Times New Roman"/>
          </w:rPr>
          <w:t>刑事訴訟法</w:t>
        </w:r>
      </w:hyperlink>
      <w:r w:rsidR="00237F62" w:rsidRPr="00237F62">
        <w:rPr>
          <w:color w:val="17365D"/>
        </w:rPr>
        <w:t>有關規定之限制</w:t>
      </w:r>
      <w:r>
        <w:rPr>
          <w:color w:val="17365D"/>
        </w:rPr>
        <w:t>。</w:t>
      </w:r>
    </w:p>
    <w:p w14:paraId="7247746E" w14:textId="5DB0A7CE" w:rsidR="00BC58F8" w:rsidRDefault="00BC58F8" w:rsidP="000845DE">
      <w:pPr>
        <w:ind w:left="142"/>
        <w:jc w:val="both"/>
        <w:rPr>
          <w:color w:val="17365D"/>
        </w:rPr>
      </w:pPr>
      <w:r w:rsidRPr="00BC58F8">
        <w:rPr>
          <w:color w:val="404040" w:themeColor="text1" w:themeTint="BF"/>
          <w:sz w:val="18"/>
        </w:rPr>
        <w:t>﹝</w:t>
      </w:r>
      <w:r w:rsidRPr="00BC58F8">
        <w:rPr>
          <w:color w:val="404040" w:themeColor="text1" w:themeTint="BF"/>
          <w:sz w:val="18"/>
        </w:rPr>
        <w:t>2</w:t>
      </w:r>
      <w:r w:rsidRPr="00BC58F8">
        <w:rPr>
          <w:color w:val="404040" w:themeColor="text1" w:themeTint="BF"/>
          <w:sz w:val="18"/>
        </w:rPr>
        <w:t>﹞</w:t>
      </w:r>
      <w:r w:rsidRPr="00F121F7">
        <w:rPr>
          <w:color w:val="666699"/>
        </w:rPr>
        <w:t>前項規定，於檢察官行訊問及檢察事務官行詢問程序時，準用之</w:t>
      </w:r>
      <w:r>
        <w:rPr>
          <w:color w:val="17365D"/>
        </w:rPr>
        <w:t>。</w:t>
      </w:r>
    </w:p>
    <w:p w14:paraId="2ACAEE45" w14:textId="0CEEE329" w:rsidR="00BC58F8" w:rsidRDefault="00BC58F8" w:rsidP="000845DE">
      <w:pPr>
        <w:ind w:left="142"/>
        <w:jc w:val="both"/>
        <w:rPr>
          <w:color w:val="17365D"/>
        </w:rPr>
      </w:pPr>
      <w:r w:rsidRPr="00BC58F8">
        <w:rPr>
          <w:color w:val="404040" w:themeColor="text1" w:themeTint="BF"/>
          <w:sz w:val="18"/>
        </w:rPr>
        <w:t>﹝</w:t>
      </w:r>
      <w:r w:rsidRPr="00BC58F8">
        <w:rPr>
          <w:color w:val="404040" w:themeColor="text1" w:themeTint="BF"/>
          <w:sz w:val="18"/>
        </w:rPr>
        <w:t>3</w:t>
      </w:r>
      <w:r w:rsidRPr="00BC58F8">
        <w:rPr>
          <w:color w:val="404040" w:themeColor="text1" w:themeTint="BF"/>
          <w:sz w:val="18"/>
        </w:rPr>
        <w:t>﹞</w:t>
      </w:r>
      <w:r w:rsidRPr="00237F62">
        <w:rPr>
          <w:color w:val="17365D"/>
        </w:rPr>
        <w:t>少年事件之少年或關係人有前項得以科技設備直接訊問或陳述之情形，少年法院經應受訊問之少年及其法定代理人或現在保護少年之人同意，且徵詢其他關係人之意見，認無礙少年表意、能與輔佐人或辯護人在不受干預下充分自由溝通、其他程序權利之有效行使及少年健全自我成長之保障者，少年法院得依少年或關係人之請求或依職權，以該設備進行程序之一部或全部，不受</w:t>
      </w:r>
      <w:hyperlink r:id="rId18" w:history="1">
        <w:r w:rsidRPr="00FF02CE">
          <w:rPr>
            <w:rStyle w:val="a3"/>
            <w:rFonts w:ascii="Times New Roman" w:hAnsi="Times New Roman"/>
          </w:rPr>
          <w:t>少年事件處理法</w:t>
        </w:r>
      </w:hyperlink>
      <w:r w:rsidRPr="00237F62">
        <w:rPr>
          <w:color w:val="17365D"/>
        </w:rPr>
        <w:t>及</w:t>
      </w:r>
      <w:hyperlink r:id="rId19" w:history="1">
        <w:r w:rsidRPr="00FF02CE">
          <w:rPr>
            <w:rStyle w:val="a3"/>
            <w:rFonts w:ascii="Times New Roman" w:hAnsi="Times New Roman"/>
          </w:rPr>
          <w:t>刑事訴訟法</w:t>
        </w:r>
      </w:hyperlink>
      <w:r w:rsidRPr="00237F62">
        <w:rPr>
          <w:color w:val="17365D"/>
        </w:rPr>
        <w:t>有關規定之限制</w:t>
      </w:r>
      <w:r>
        <w:rPr>
          <w:color w:val="17365D"/>
        </w:rPr>
        <w:t>。</w:t>
      </w:r>
    </w:p>
    <w:p w14:paraId="33AAC1D7" w14:textId="1DA3D2C6" w:rsidR="00BC58F8" w:rsidRDefault="00BC58F8" w:rsidP="000845DE">
      <w:pPr>
        <w:ind w:left="142"/>
        <w:jc w:val="both"/>
        <w:rPr>
          <w:color w:val="17365D"/>
        </w:rPr>
      </w:pPr>
      <w:r w:rsidRPr="00BC58F8">
        <w:rPr>
          <w:color w:val="404040" w:themeColor="text1" w:themeTint="BF"/>
          <w:sz w:val="18"/>
        </w:rPr>
        <w:t>﹝</w:t>
      </w:r>
      <w:r w:rsidRPr="00BC58F8">
        <w:rPr>
          <w:color w:val="404040" w:themeColor="text1" w:themeTint="BF"/>
          <w:sz w:val="18"/>
        </w:rPr>
        <w:t>4</w:t>
      </w:r>
      <w:r w:rsidRPr="00BC58F8">
        <w:rPr>
          <w:color w:val="404040" w:themeColor="text1" w:themeTint="BF"/>
          <w:sz w:val="18"/>
        </w:rPr>
        <w:t>﹞</w:t>
      </w:r>
      <w:r w:rsidRPr="00F121F7">
        <w:rPr>
          <w:color w:val="666699"/>
        </w:rPr>
        <w:t>司法警察官或司法警察於必要時，經應受詢問之被告、犯罪嫌疑人、少年及其法定代理人或現在保護少年之人同意，且徵詢其他關係人之意見，審酌無礙於被告、犯罪嫌疑人或少年能與辯護人或輔佐人在不受干預下充分自由溝通等防禦權、少年表意與其他程序權利之有效行使者，得使用聲音及影像相互傳送之科技設備詢問被告、犯罪嫌疑人、少年或關係人，不受</w:t>
      </w:r>
      <w:hyperlink r:id="rId20" w:history="1">
        <w:r w:rsidRPr="00FF02CE">
          <w:rPr>
            <w:rStyle w:val="a3"/>
            <w:rFonts w:ascii="Times New Roman" w:hAnsi="Times New Roman"/>
          </w:rPr>
          <w:t>刑事訴訟法</w:t>
        </w:r>
      </w:hyperlink>
      <w:r w:rsidRPr="00F121F7">
        <w:rPr>
          <w:color w:val="666699"/>
        </w:rPr>
        <w:t>及</w:t>
      </w:r>
      <w:hyperlink r:id="rId21" w:history="1">
        <w:r w:rsidRPr="00FF02CE">
          <w:rPr>
            <w:rStyle w:val="a3"/>
            <w:rFonts w:ascii="Times New Roman" w:hAnsi="Times New Roman"/>
          </w:rPr>
          <w:t>少年事件處理法</w:t>
        </w:r>
      </w:hyperlink>
      <w:r w:rsidRPr="00F121F7">
        <w:rPr>
          <w:color w:val="666699"/>
        </w:rPr>
        <w:t>有關規定之限制</w:t>
      </w:r>
      <w:r>
        <w:rPr>
          <w:color w:val="17365D"/>
        </w:rPr>
        <w:t>。</w:t>
      </w:r>
    </w:p>
    <w:p w14:paraId="72F69752" w14:textId="2CB464E2" w:rsidR="00237F62" w:rsidRPr="00237F62" w:rsidRDefault="00BC58F8" w:rsidP="000845DE">
      <w:pPr>
        <w:ind w:left="142"/>
        <w:jc w:val="both"/>
        <w:rPr>
          <w:color w:val="17365D"/>
        </w:rPr>
      </w:pPr>
      <w:r w:rsidRPr="00BC58F8">
        <w:rPr>
          <w:color w:val="404040" w:themeColor="text1" w:themeTint="BF"/>
          <w:sz w:val="18"/>
        </w:rPr>
        <w:t>﹝</w:t>
      </w:r>
      <w:r w:rsidRPr="00BC58F8">
        <w:rPr>
          <w:color w:val="404040" w:themeColor="text1" w:themeTint="BF"/>
          <w:sz w:val="18"/>
        </w:rPr>
        <w:t>5</w:t>
      </w:r>
      <w:r w:rsidRPr="00BC58F8">
        <w:rPr>
          <w:color w:val="404040" w:themeColor="text1" w:themeTint="BF"/>
          <w:sz w:val="18"/>
        </w:rPr>
        <w:t>﹞</w:t>
      </w:r>
      <w:r w:rsidR="00237F62" w:rsidRPr="00237F62">
        <w:rPr>
          <w:color w:val="17365D"/>
        </w:rPr>
        <w:t>前四項情形，</w:t>
      </w:r>
      <w:hyperlink r:id="rId22" w:history="1">
        <w:r w:rsidR="00FF02CE" w:rsidRPr="00FF02CE">
          <w:rPr>
            <w:rStyle w:val="a3"/>
            <w:rFonts w:ascii="Times New Roman" w:hAnsi="Times New Roman"/>
          </w:rPr>
          <w:t>刑事訴訟法</w:t>
        </w:r>
      </w:hyperlink>
      <w:r w:rsidR="00237F62" w:rsidRPr="00237F62">
        <w:rPr>
          <w:color w:val="17365D"/>
        </w:rPr>
        <w:t>及</w:t>
      </w:r>
      <w:hyperlink r:id="rId23" w:history="1">
        <w:r w:rsidR="00FF02CE" w:rsidRPr="00FF02CE">
          <w:rPr>
            <w:rStyle w:val="a3"/>
            <w:rFonts w:ascii="Times New Roman" w:hAnsi="Times New Roman"/>
          </w:rPr>
          <w:t>少年事件處理法</w:t>
        </w:r>
      </w:hyperlink>
      <w:r w:rsidR="00237F62" w:rsidRPr="00237F62">
        <w:rPr>
          <w:color w:val="17365D"/>
        </w:rPr>
        <w:t>關於受訊問或詢問人、到庭或到場之人於筆錄內簽名、蓋章或按指印之規定，不適用之。</w:t>
      </w:r>
    </w:p>
    <w:p w14:paraId="57559354" w14:textId="77777777" w:rsidR="00BC58F8" w:rsidRDefault="00237F62" w:rsidP="000845DE">
      <w:pPr>
        <w:pStyle w:val="2"/>
        <w:jc w:val="both"/>
      </w:pPr>
      <w:bookmarkStart w:id="8" w:name="a5"/>
      <w:bookmarkEnd w:id="8"/>
      <w:r w:rsidRPr="00237F62">
        <w:t>第</w:t>
      </w:r>
      <w:r w:rsidRPr="00237F62">
        <w:t>5</w:t>
      </w:r>
      <w:r w:rsidR="00BC58F8">
        <w:t>條</w:t>
      </w:r>
    </w:p>
    <w:p w14:paraId="2C736F86" w14:textId="48B6A8AD" w:rsidR="00BC58F8" w:rsidRDefault="00BC58F8" w:rsidP="000845DE">
      <w:pPr>
        <w:ind w:left="142"/>
        <w:jc w:val="both"/>
        <w:rPr>
          <w:color w:val="17365D"/>
        </w:rPr>
      </w:pPr>
      <w:r w:rsidRPr="00BC58F8">
        <w:rPr>
          <w:color w:val="404040" w:themeColor="text1" w:themeTint="BF"/>
          <w:sz w:val="18"/>
        </w:rPr>
        <w:t>﹝</w:t>
      </w:r>
      <w:r w:rsidRPr="00BC58F8">
        <w:rPr>
          <w:color w:val="404040" w:themeColor="text1" w:themeTint="BF"/>
          <w:sz w:val="18"/>
        </w:rPr>
        <w:t>1</w:t>
      </w:r>
      <w:r w:rsidRPr="00BC58F8">
        <w:rPr>
          <w:color w:val="404040" w:themeColor="text1" w:themeTint="BF"/>
          <w:sz w:val="18"/>
        </w:rPr>
        <w:t>﹞</w:t>
      </w:r>
      <w:r w:rsidR="00237F62" w:rsidRPr="00237F62">
        <w:rPr>
          <w:color w:val="17365D"/>
        </w:rPr>
        <w:t>人身自由受限制之被告經法官依前條第一項以科技設備訊問而為有關羈押之處分或裁定者，押票、處分或裁定得以電信傳真或其他科技設備傳送予被告，再行補送原本或正本。被告之辯護人指定陳明有電信傳真或電子郵遞設備可供傳送前開資料者，亦同</w:t>
      </w:r>
      <w:r>
        <w:rPr>
          <w:color w:val="17365D"/>
        </w:rPr>
        <w:t>。</w:t>
      </w:r>
    </w:p>
    <w:p w14:paraId="6197F9B2" w14:textId="063223A9" w:rsidR="00BC58F8" w:rsidRDefault="00BC58F8" w:rsidP="000845DE">
      <w:pPr>
        <w:ind w:left="142"/>
        <w:jc w:val="both"/>
        <w:rPr>
          <w:color w:val="17365D"/>
        </w:rPr>
      </w:pPr>
      <w:r w:rsidRPr="00BC58F8">
        <w:rPr>
          <w:color w:val="404040" w:themeColor="text1" w:themeTint="BF"/>
          <w:sz w:val="18"/>
        </w:rPr>
        <w:t>﹝</w:t>
      </w:r>
      <w:r w:rsidRPr="00BC58F8">
        <w:rPr>
          <w:color w:val="404040" w:themeColor="text1" w:themeTint="BF"/>
          <w:sz w:val="18"/>
        </w:rPr>
        <w:t>2</w:t>
      </w:r>
      <w:r w:rsidRPr="00BC58F8">
        <w:rPr>
          <w:color w:val="404040" w:themeColor="text1" w:themeTint="BF"/>
          <w:sz w:val="18"/>
        </w:rPr>
        <w:t>﹞</w:t>
      </w:r>
      <w:r w:rsidRPr="00F121F7">
        <w:rPr>
          <w:color w:val="666699"/>
        </w:rPr>
        <w:t>前項情形，於押票、處分或裁定傳送予被告時，發生送達效力</w:t>
      </w:r>
      <w:r>
        <w:rPr>
          <w:color w:val="17365D"/>
        </w:rPr>
        <w:t>。</w:t>
      </w:r>
    </w:p>
    <w:p w14:paraId="2643B429" w14:textId="1BCEDD69" w:rsidR="00BC58F8" w:rsidRDefault="00BC58F8" w:rsidP="000845DE">
      <w:pPr>
        <w:ind w:left="142"/>
        <w:jc w:val="both"/>
        <w:rPr>
          <w:color w:val="17365D"/>
        </w:rPr>
      </w:pPr>
      <w:r w:rsidRPr="00BC58F8">
        <w:rPr>
          <w:color w:val="404040" w:themeColor="text1" w:themeTint="BF"/>
          <w:sz w:val="18"/>
        </w:rPr>
        <w:t>﹝</w:t>
      </w:r>
      <w:r w:rsidRPr="00BC58F8">
        <w:rPr>
          <w:color w:val="404040" w:themeColor="text1" w:themeTint="BF"/>
          <w:sz w:val="18"/>
        </w:rPr>
        <w:t>3</w:t>
      </w:r>
      <w:r w:rsidRPr="00BC58F8">
        <w:rPr>
          <w:color w:val="404040" w:themeColor="text1" w:themeTint="BF"/>
          <w:sz w:val="18"/>
        </w:rPr>
        <w:t>﹞</w:t>
      </w:r>
      <w:r w:rsidRPr="00237F62">
        <w:rPr>
          <w:color w:val="17365D"/>
        </w:rPr>
        <w:t>除在監所之人外，當事人或訴訟關係人指定陳明有電信傳真或電子郵遞設備可供文書之傳送者，法院得以電信傳真或電子郵遞設備傳送裁判書以外之文書</w:t>
      </w:r>
      <w:r>
        <w:rPr>
          <w:color w:val="17365D"/>
        </w:rPr>
        <w:t>。</w:t>
      </w:r>
    </w:p>
    <w:p w14:paraId="58F11B6E" w14:textId="1F2E35EF" w:rsidR="00BC58F8" w:rsidRDefault="00BC58F8" w:rsidP="000845DE">
      <w:pPr>
        <w:ind w:left="142"/>
        <w:jc w:val="both"/>
        <w:rPr>
          <w:color w:val="17365D"/>
        </w:rPr>
      </w:pPr>
      <w:r w:rsidRPr="00BC58F8">
        <w:rPr>
          <w:color w:val="404040" w:themeColor="text1" w:themeTint="BF"/>
          <w:sz w:val="18"/>
        </w:rPr>
        <w:t>﹝</w:t>
      </w:r>
      <w:r w:rsidRPr="00BC58F8">
        <w:rPr>
          <w:color w:val="404040" w:themeColor="text1" w:themeTint="BF"/>
          <w:sz w:val="18"/>
        </w:rPr>
        <w:t>4</w:t>
      </w:r>
      <w:r w:rsidRPr="00BC58F8">
        <w:rPr>
          <w:color w:val="404040" w:themeColor="text1" w:themeTint="BF"/>
          <w:sz w:val="18"/>
        </w:rPr>
        <w:t>﹞</w:t>
      </w:r>
      <w:r w:rsidRPr="00F121F7">
        <w:rPr>
          <w:color w:val="666699"/>
        </w:rPr>
        <w:t>除在監所之人外，當事人或訴訟關係人經法院許可，得以電信傳真或電子郵遞設備傳送書狀；法院許可時，應指定傳真號碼或電子信箱帳號並告以書狀首頁應記載事項</w:t>
      </w:r>
      <w:r>
        <w:rPr>
          <w:color w:val="17365D"/>
        </w:rPr>
        <w:t>。</w:t>
      </w:r>
    </w:p>
    <w:p w14:paraId="0E0D476A" w14:textId="57143A77" w:rsidR="00BC58F8" w:rsidRDefault="00BC58F8" w:rsidP="000845DE">
      <w:pPr>
        <w:ind w:left="142"/>
        <w:jc w:val="both"/>
        <w:rPr>
          <w:color w:val="17365D"/>
        </w:rPr>
      </w:pPr>
      <w:r w:rsidRPr="00BC58F8">
        <w:rPr>
          <w:color w:val="404040" w:themeColor="text1" w:themeTint="BF"/>
          <w:sz w:val="18"/>
        </w:rPr>
        <w:t>﹝</w:t>
      </w:r>
      <w:r w:rsidRPr="00BC58F8">
        <w:rPr>
          <w:color w:val="404040" w:themeColor="text1" w:themeTint="BF"/>
          <w:sz w:val="18"/>
        </w:rPr>
        <w:t>5</w:t>
      </w:r>
      <w:r w:rsidRPr="00BC58F8">
        <w:rPr>
          <w:color w:val="404040" w:themeColor="text1" w:themeTint="BF"/>
          <w:sz w:val="18"/>
        </w:rPr>
        <w:t>﹞</w:t>
      </w:r>
      <w:r w:rsidRPr="00237F62">
        <w:rPr>
          <w:color w:val="17365D"/>
        </w:rPr>
        <w:t>前二項之傳送，於傳送至對方所陳明或指定之設備時，發生送達之效力</w:t>
      </w:r>
      <w:r>
        <w:rPr>
          <w:color w:val="17365D"/>
        </w:rPr>
        <w:t>。</w:t>
      </w:r>
    </w:p>
    <w:p w14:paraId="2FEBB9BE" w14:textId="18A8CCC8" w:rsidR="00BC58F8" w:rsidRDefault="00BC58F8" w:rsidP="000845DE">
      <w:pPr>
        <w:ind w:left="142"/>
        <w:jc w:val="both"/>
        <w:rPr>
          <w:color w:val="17365D"/>
        </w:rPr>
      </w:pPr>
      <w:r w:rsidRPr="00BC58F8">
        <w:rPr>
          <w:color w:val="404040" w:themeColor="text1" w:themeTint="BF"/>
          <w:sz w:val="18"/>
        </w:rPr>
        <w:t>﹝</w:t>
      </w:r>
      <w:r w:rsidRPr="00BC58F8">
        <w:rPr>
          <w:color w:val="404040" w:themeColor="text1" w:themeTint="BF"/>
          <w:sz w:val="18"/>
        </w:rPr>
        <w:t>6</w:t>
      </w:r>
      <w:r w:rsidRPr="00BC58F8">
        <w:rPr>
          <w:color w:val="404040" w:themeColor="text1" w:themeTint="BF"/>
          <w:sz w:val="18"/>
        </w:rPr>
        <w:t>﹞</w:t>
      </w:r>
      <w:r w:rsidRPr="00F121F7">
        <w:rPr>
          <w:color w:val="666699"/>
        </w:rPr>
        <w:t>第一項及第二項規定，於人身自由受限制之少年，經法官依前條第一項以科技設備訊問而為有關少年保護事件收容之裁定，準用之；少年保護事件之輔佐人指定陳明有電信傳真或電子郵遞設備可供傳送前開資料者，亦同。第三項至第五項之規定，於少年保護事件之調查、審理及執行程序準用之</w:t>
      </w:r>
      <w:r>
        <w:rPr>
          <w:color w:val="17365D"/>
        </w:rPr>
        <w:t>。</w:t>
      </w:r>
    </w:p>
    <w:p w14:paraId="2AE05D98" w14:textId="7E5590FC" w:rsidR="00237F62" w:rsidRPr="00237F62" w:rsidRDefault="00BC58F8" w:rsidP="000845DE">
      <w:pPr>
        <w:ind w:left="142"/>
        <w:jc w:val="both"/>
        <w:rPr>
          <w:color w:val="17365D"/>
        </w:rPr>
      </w:pPr>
      <w:r w:rsidRPr="00BC58F8">
        <w:rPr>
          <w:color w:val="404040" w:themeColor="text1" w:themeTint="BF"/>
          <w:sz w:val="18"/>
        </w:rPr>
        <w:t>﹝</w:t>
      </w:r>
      <w:r w:rsidRPr="00BC58F8">
        <w:rPr>
          <w:color w:val="404040" w:themeColor="text1" w:themeTint="BF"/>
          <w:sz w:val="18"/>
        </w:rPr>
        <w:t>7</w:t>
      </w:r>
      <w:r w:rsidRPr="00BC58F8">
        <w:rPr>
          <w:color w:val="404040" w:themeColor="text1" w:themeTint="BF"/>
          <w:sz w:val="18"/>
        </w:rPr>
        <w:t>﹞</w:t>
      </w:r>
      <w:r w:rsidR="00237F62" w:rsidRPr="00237F62">
        <w:rPr>
          <w:color w:val="17365D"/>
        </w:rPr>
        <w:t>第三項至第五項規定，於檢察官偵查程序準用之。</w:t>
      </w:r>
    </w:p>
    <w:p w14:paraId="4DEF6AC6" w14:textId="77777777" w:rsidR="00BC58F8" w:rsidRDefault="00237F62" w:rsidP="000845DE">
      <w:pPr>
        <w:pStyle w:val="2"/>
        <w:jc w:val="both"/>
      </w:pPr>
      <w:bookmarkStart w:id="9" w:name="a6"/>
      <w:bookmarkEnd w:id="9"/>
      <w:r w:rsidRPr="00237F62">
        <w:t>第</w:t>
      </w:r>
      <w:r w:rsidRPr="00237F62">
        <w:t>6</w:t>
      </w:r>
      <w:r w:rsidR="00BC58F8">
        <w:t>條</w:t>
      </w:r>
    </w:p>
    <w:p w14:paraId="30DB42F9" w14:textId="52C835F6" w:rsidR="00BC58F8" w:rsidRDefault="00BC58F8" w:rsidP="000845DE">
      <w:pPr>
        <w:ind w:left="142"/>
        <w:jc w:val="both"/>
        <w:rPr>
          <w:color w:val="17365D"/>
        </w:rPr>
      </w:pPr>
      <w:r w:rsidRPr="00BC58F8">
        <w:rPr>
          <w:color w:val="404040" w:themeColor="text1" w:themeTint="BF"/>
          <w:sz w:val="18"/>
        </w:rPr>
        <w:t>﹝</w:t>
      </w:r>
      <w:r w:rsidRPr="00BC58F8">
        <w:rPr>
          <w:color w:val="404040" w:themeColor="text1" w:themeTint="BF"/>
          <w:sz w:val="18"/>
        </w:rPr>
        <w:t>1</w:t>
      </w:r>
      <w:r w:rsidRPr="00BC58F8">
        <w:rPr>
          <w:color w:val="404040" w:themeColor="text1" w:themeTint="BF"/>
          <w:sz w:val="18"/>
        </w:rPr>
        <w:t>﹞</w:t>
      </w:r>
      <w:hyperlink r:id="rId24" w:history="1">
        <w:r w:rsidR="00FF02CE" w:rsidRPr="00FF02CE">
          <w:rPr>
            <w:rStyle w:val="a3"/>
            <w:rFonts w:ascii="Times New Roman" w:hAnsi="Times New Roman"/>
          </w:rPr>
          <w:t>刑事訴訟法</w:t>
        </w:r>
      </w:hyperlink>
      <w:r w:rsidR="00237F62" w:rsidRPr="00237F62">
        <w:rPr>
          <w:color w:val="17365D"/>
        </w:rPr>
        <w:t>之筆錄，得依當場之錄音事後補行製作，不受</w:t>
      </w:r>
      <w:hyperlink r:id="rId25" w:history="1">
        <w:r w:rsidR="00FF02CE" w:rsidRPr="00FF02CE">
          <w:rPr>
            <w:rStyle w:val="a3"/>
            <w:rFonts w:ascii="Times New Roman" w:hAnsi="Times New Roman"/>
          </w:rPr>
          <w:t>刑事訴訟法</w:t>
        </w:r>
      </w:hyperlink>
      <w:r w:rsidR="00237F62" w:rsidRPr="00237F62">
        <w:rPr>
          <w:color w:val="17365D"/>
        </w:rPr>
        <w:t>相關規定之限制</w:t>
      </w:r>
      <w:r>
        <w:rPr>
          <w:color w:val="17365D"/>
        </w:rPr>
        <w:t>。</w:t>
      </w:r>
    </w:p>
    <w:p w14:paraId="06F4149E" w14:textId="3716B5A0" w:rsidR="00BC58F8" w:rsidRDefault="00BC58F8" w:rsidP="000845DE">
      <w:pPr>
        <w:ind w:left="142"/>
        <w:jc w:val="both"/>
        <w:rPr>
          <w:color w:val="17365D"/>
        </w:rPr>
      </w:pPr>
      <w:r w:rsidRPr="00BC58F8">
        <w:rPr>
          <w:color w:val="404040" w:themeColor="text1" w:themeTint="BF"/>
          <w:sz w:val="18"/>
        </w:rPr>
        <w:t>﹝</w:t>
      </w:r>
      <w:r w:rsidRPr="00BC58F8">
        <w:rPr>
          <w:color w:val="404040" w:themeColor="text1" w:themeTint="BF"/>
          <w:sz w:val="18"/>
        </w:rPr>
        <w:t>2</w:t>
      </w:r>
      <w:r w:rsidRPr="00BC58F8">
        <w:rPr>
          <w:color w:val="404040" w:themeColor="text1" w:themeTint="BF"/>
          <w:sz w:val="18"/>
        </w:rPr>
        <w:t>﹞</w:t>
      </w:r>
      <w:r w:rsidRPr="00F121F7">
        <w:rPr>
          <w:color w:val="666699"/>
        </w:rPr>
        <w:t>前項之錄音，應立即備份處理</w:t>
      </w:r>
      <w:r>
        <w:rPr>
          <w:color w:val="17365D"/>
        </w:rPr>
        <w:t>。</w:t>
      </w:r>
    </w:p>
    <w:p w14:paraId="72F7D046" w14:textId="7BF554F2" w:rsidR="00237F62" w:rsidRPr="00237F62" w:rsidRDefault="00BC58F8" w:rsidP="000845DE">
      <w:pPr>
        <w:ind w:left="142"/>
        <w:jc w:val="both"/>
        <w:rPr>
          <w:color w:val="17365D"/>
        </w:rPr>
      </w:pPr>
      <w:r w:rsidRPr="00BC58F8">
        <w:rPr>
          <w:color w:val="404040" w:themeColor="text1" w:themeTint="BF"/>
          <w:sz w:val="18"/>
        </w:rPr>
        <w:t>﹝</w:t>
      </w:r>
      <w:r w:rsidRPr="00BC58F8">
        <w:rPr>
          <w:color w:val="404040" w:themeColor="text1" w:themeTint="BF"/>
          <w:sz w:val="18"/>
        </w:rPr>
        <w:t>3</w:t>
      </w:r>
      <w:r w:rsidRPr="00BC58F8">
        <w:rPr>
          <w:color w:val="404040" w:themeColor="text1" w:themeTint="BF"/>
          <w:sz w:val="18"/>
        </w:rPr>
        <w:t>﹞</w:t>
      </w:r>
      <w:r w:rsidR="00237F62" w:rsidRPr="00237F62">
        <w:rPr>
          <w:color w:val="17365D"/>
        </w:rPr>
        <w:t>前二項規定，於少年事件筆錄之製作準用之，不受</w:t>
      </w:r>
      <w:hyperlink r:id="rId26" w:history="1">
        <w:r w:rsidR="00FF02CE" w:rsidRPr="00FF02CE">
          <w:rPr>
            <w:rStyle w:val="a3"/>
            <w:rFonts w:ascii="Times New Roman" w:hAnsi="Times New Roman"/>
          </w:rPr>
          <w:t>少年事件處理法</w:t>
        </w:r>
      </w:hyperlink>
      <w:r w:rsidR="00237F62" w:rsidRPr="00237F62">
        <w:rPr>
          <w:color w:val="17365D"/>
        </w:rPr>
        <w:t>及</w:t>
      </w:r>
      <w:hyperlink r:id="rId27" w:history="1">
        <w:r w:rsidR="00FF02CE" w:rsidRPr="00FF02CE">
          <w:rPr>
            <w:rStyle w:val="a3"/>
            <w:rFonts w:ascii="Times New Roman" w:hAnsi="Times New Roman"/>
          </w:rPr>
          <w:t>刑事訴訟法</w:t>
        </w:r>
      </w:hyperlink>
      <w:r w:rsidR="00237F62" w:rsidRPr="00237F62">
        <w:rPr>
          <w:color w:val="17365D"/>
        </w:rPr>
        <w:t>相關規定之限制。</w:t>
      </w:r>
    </w:p>
    <w:p w14:paraId="597FBCC5" w14:textId="77777777" w:rsidR="00BC58F8" w:rsidRDefault="00237F62" w:rsidP="000845DE">
      <w:pPr>
        <w:pStyle w:val="2"/>
        <w:jc w:val="both"/>
      </w:pPr>
      <w:bookmarkStart w:id="10" w:name="a7"/>
      <w:bookmarkEnd w:id="10"/>
      <w:r w:rsidRPr="00237F62">
        <w:t>第</w:t>
      </w:r>
      <w:r w:rsidRPr="00237F62">
        <w:t>7</w:t>
      </w:r>
      <w:r w:rsidR="00BC58F8">
        <w:t>條</w:t>
      </w:r>
    </w:p>
    <w:p w14:paraId="0B18C899" w14:textId="69F4412E" w:rsidR="00BC58F8" w:rsidRDefault="00BC58F8" w:rsidP="000845DE">
      <w:pPr>
        <w:ind w:left="142"/>
        <w:jc w:val="both"/>
        <w:rPr>
          <w:color w:val="17365D"/>
        </w:rPr>
      </w:pPr>
      <w:r w:rsidRPr="00BC58F8">
        <w:rPr>
          <w:color w:val="404040" w:themeColor="text1" w:themeTint="BF"/>
          <w:sz w:val="18"/>
        </w:rPr>
        <w:t>﹝</w:t>
      </w:r>
      <w:r w:rsidRPr="00BC58F8">
        <w:rPr>
          <w:color w:val="404040" w:themeColor="text1" w:themeTint="BF"/>
          <w:sz w:val="18"/>
        </w:rPr>
        <w:t>1</w:t>
      </w:r>
      <w:r w:rsidRPr="00BC58F8">
        <w:rPr>
          <w:color w:val="404040" w:themeColor="text1" w:themeTint="BF"/>
          <w:sz w:val="18"/>
        </w:rPr>
        <w:t>﹞</w:t>
      </w:r>
      <w:r w:rsidR="00237F62" w:rsidRPr="00237F62">
        <w:rPr>
          <w:color w:val="17365D"/>
        </w:rPr>
        <w:t>法院處理刑事案件，經徵詢當事人、辯護人及輔佐人之意見，並審酌被告是否羈押、訴訟進行程度，及可否實施</w:t>
      </w:r>
      <w:hyperlink w:anchor="a3" w:history="1">
        <w:r w:rsidR="00237F62" w:rsidRPr="000E490F">
          <w:rPr>
            <w:rStyle w:val="a3"/>
            <w:rFonts w:ascii="Times New Roman" w:hAnsi="Times New Roman"/>
          </w:rPr>
          <w:t>第三條</w:t>
        </w:r>
      </w:hyperlink>
      <w:r w:rsidR="00237F62" w:rsidRPr="00237F62">
        <w:rPr>
          <w:color w:val="17365D"/>
        </w:rPr>
        <w:t>所定處置或措施，或使用科技設備進行審判等情狀後，認為審判有重大困難者，得於原因消滅前停止審判</w:t>
      </w:r>
      <w:r>
        <w:rPr>
          <w:color w:val="17365D"/>
        </w:rPr>
        <w:t>。</w:t>
      </w:r>
    </w:p>
    <w:p w14:paraId="257E99E3" w14:textId="64C450B1" w:rsidR="00BC58F8" w:rsidRDefault="00BC58F8" w:rsidP="000845DE">
      <w:pPr>
        <w:ind w:left="142"/>
        <w:jc w:val="both"/>
        <w:rPr>
          <w:color w:val="17365D"/>
        </w:rPr>
      </w:pPr>
      <w:r w:rsidRPr="00BC58F8">
        <w:rPr>
          <w:color w:val="404040" w:themeColor="text1" w:themeTint="BF"/>
          <w:sz w:val="18"/>
        </w:rPr>
        <w:t>﹝</w:t>
      </w:r>
      <w:r w:rsidRPr="00BC58F8">
        <w:rPr>
          <w:color w:val="404040" w:themeColor="text1" w:themeTint="BF"/>
          <w:sz w:val="18"/>
        </w:rPr>
        <w:t>2</w:t>
      </w:r>
      <w:r w:rsidRPr="00BC58F8">
        <w:rPr>
          <w:color w:val="404040" w:themeColor="text1" w:themeTint="BF"/>
          <w:sz w:val="18"/>
        </w:rPr>
        <w:t>﹞</w:t>
      </w:r>
      <w:r w:rsidRPr="00F121F7">
        <w:rPr>
          <w:color w:val="666699"/>
        </w:rPr>
        <w:t>前項停止審判之原因消滅時，法院應繼續審判，當事人亦得聲請法院繼續審判</w:t>
      </w:r>
      <w:r>
        <w:rPr>
          <w:color w:val="17365D"/>
        </w:rPr>
        <w:t>。</w:t>
      </w:r>
    </w:p>
    <w:p w14:paraId="6D6B3AE4" w14:textId="11DAD853" w:rsidR="00BC58F8" w:rsidRDefault="00BC58F8" w:rsidP="000845DE">
      <w:pPr>
        <w:ind w:left="142"/>
        <w:jc w:val="both"/>
        <w:rPr>
          <w:color w:val="17365D"/>
        </w:rPr>
      </w:pPr>
      <w:r w:rsidRPr="00BC58F8">
        <w:rPr>
          <w:color w:val="404040" w:themeColor="text1" w:themeTint="BF"/>
          <w:sz w:val="18"/>
        </w:rPr>
        <w:t>﹝</w:t>
      </w:r>
      <w:r w:rsidRPr="00BC58F8">
        <w:rPr>
          <w:color w:val="404040" w:themeColor="text1" w:themeTint="BF"/>
          <w:sz w:val="18"/>
        </w:rPr>
        <w:t>3</w:t>
      </w:r>
      <w:r w:rsidRPr="00BC58F8">
        <w:rPr>
          <w:color w:val="404040" w:themeColor="text1" w:themeTint="BF"/>
          <w:sz w:val="18"/>
        </w:rPr>
        <w:t>﹞</w:t>
      </w:r>
      <w:r w:rsidRPr="00237F62">
        <w:rPr>
          <w:color w:val="17365D"/>
        </w:rPr>
        <w:t>前二項規定，於少年事件準用之；依第一項徵詢意見時，應併徵詢少年之法定代理人、現在保護少年之人及少年保護事件輔佐人之意見</w:t>
      </w:r>
      <w:r>
        <w:rPr>
          <w:color w:val="17365D"/>
        </w:rPr>
        <w:t>。</w:t>
      </w:r>
    </w:p>
    <w:p w14:paraId="32EA2F15" w14:textId="6F340518" w:rsidR="00BC58F8" w:rsidRDefault="00BC58F8" w:rsidP="000845DE">
      <w:pPr>
        <w:ind w:left="142"/>
        <w:jc w:val="both"/>
        <w:rPr>
          <w:color w:val="17365D"/>
        </w:rPr>
      </w:pPr>
      <w:r w:rsidRPr="00BC58F8">
        <w:rPr>
          <w:color w:val="404040" w:themeColor="text1" w:themeTint="BF"/>
          <w:sz w:val="18"/>
        </w:rPr>
        <w:lastRenderedPageBreak/>
        <w:t>﹝</w:t>
      </w:r>
      <w:r w:rsidRPr="00BC58F8">
        <w:rPr>
          <w:color w:val="404040" w:themeColor="text1" w:themeTint="BF"/>
          <w:sz w:val="18"/>
        </w:rPr>
        <w:t>4</w:t>
      </w:r>
      <w:r w:rsidRPr="00BC58F8">
        <w:rPr>
          <w:color w:val="404040" w:themeColor="text1" w:themeTint="BF"/>
          <w:sz w:val="18"/>
        </w:rPr>
        <w:t>﹞</w:t>
      </w:r>
      <w:r w:rsidR="00237F62" w:rsidRPr="00237F62">
        <w:rPr>
          <w:color w:val="17365D"/>
        </w:rPr>
        <w:t>檢察官於偵查中，得準用第一項及第二項之規定停止及繼續偵查</w:t>
      </w:r>
      <w:r>
        <w:rPr>
          <w:color w:val="17365D"/>
        </w:rPr>
        <w:t>。</w:t>
      </w:r>
    </w:p>
    <w:p w14:paraId="2BDC8BC7" w14:textId="24EDE259" w:rsidR="00F121F7" w:rsidRPr="00237F62" w:rsidRDefault="00BC58F8" w:rsidP="000845DE">
      <w:pPr>
        <w:ind w:left="142"/>
        <w:jc w:val="both"/>
        <w:rPr>
          <w:color w:val="17365D"/>
        </w:rPr>
      </w:pPr>
      <w:r>
        <w:rPr>
          <w:color w:val="17365D"/>
        </w:rPr>
        <w:t xml:space="preserve">　　　　</w:t>
      </w:r>
      <w:r w:rsidR="00BA44A4" w:rsidRPr="001049E7">
        <w:rPr>
          <w:rFonts w:hint="eastAsia"/>
        </w:rPr>
        <w:t xml:space="preserve">　　　　　　　　　　　　　　　　　　　　　　　　　　　　　　　　　　　　　　　　</w:t>
      </w:r>
      <w:hyperlink w:anchor="a章節索引" w:history="1">
        <w:r w:rsidR="00BA44A4" w:rsidRPr="003028F9">
          <w:rPr>
            <w:rStyle w:val="a3"/>
            <w:rFonts w:ascii="Arial Unicode MS" w:hAnsi="Arial Unicode MS" w:hint="eastAsia"/>
            <w:sz w:val="18"/>
          </w:rPr>
          <w:t>回索引</w:t>
        </w:r>
      </w:hyperlink>
      <w:r w:rsidR="00BA44A4">
        <w:rPr>
          <w:rFonts w:ascii="Arial Unicode MS" w:hAnsi="Arial Unicode MS" w:hint="eastAsia"/>
          <w:color w:val="808000"/>
          <w:sz w:val="18"/>
        </w:rPr>
        <w:t>〉〉</w:t>
      </w:r>
    </w:p>
    <w:p w14:paraId="6D6F4FEE" w14:textId="77777777" w:rsidR="00237F62" w:rsidRPr="00237F62" w:rsidRDefault="00237F62" w:rsidP="000845DE">
      <w:pPr>
        <w:pStyle w:val="1"/>
        <w:jc w:val="both"/>
      </w:pPr>
      <w:bookmarkStart w:id="11" w:name="_第三章__民事及家事事件"/>
      <w:bookmarkEnd w:id="11"/>
      <w:r w:rsidRPr="00237F62">
        <w:t>第三章　　民事及家事事件</w:t>
      </w:r>
    </w:p>
    <w:p w14:paraId="6C220695" w14:textId="77777777" w:rsidR="00BC58F8" w:rsidRDefault="00237F62" w:rsidP="000845DE">
      <w:pPr>
        <w:pStyle w:val="2"/>
        <w:jc w:val="both"/>
      </w:pPr>
      <w:bookmarkStart w:id="12" w:name="a8"/>
      <w:bookmarkEnd w:id="12"/>
      <w:r w:rsidRPr="00237F62">
        <w:t>第</w:t>
      </w:r>
      <w:r w:rsidRPr="00237F62">
        <w:t>8</w:t>
      </w:r>
      <w:r w:rsidR="00BC58F8">
        <w:t>條</w:t>
      </w:r>
    </w:p>
    <w:p w14:paraId="3E246763" w14:textId="577609E5" w:rsidR="00237F62" w:rsidRPr="00237F62" w:rsidRDefault="00BC58F8" w:rsidP="000845DE">
      <w:pPr>
        <w:ind w:left="142"/>
        <w:jc w:val="both"/>
        <w:rPr>
          <w:color w:val="17365D"/>
        </w:rPr>
      </w:pPr>
      <w:r w:rsidRPr="00BC58F8">
        <w:rPr>
          <w:color w:val="404040" w:themeColor="text1" w:themeTint="BF"/>
          <w:sz w:val="18"/>
        </w:rPr>
        <w:t>﹝</w:t>
      </w:r>
      <w:r w:rsidRPr="00BC58F8">
        <w:rPr>
          <w:color w:val="404040" w:themeColor="text1" w:themeTint="BF"/>
          <w:sz w:val="18"/>
        </w:rPr>
        <w:t>1</w:t>
      </w:r>
      <w:r w:rsidRPr="00BC58F8">
        <w:rPr>
          <w:color w:val="404040" w:themeColor="text1" w:themeTint="BF"/>
          <w:sz w:val="18"/>
        </w:rPr>
        <w:t>﹞</w:t>
      </w:r>
      <w:r w:rsidR="00237F62" w:rsidRPr="00237F62">
        <w:rPr>
          <w:color w:val="17365D"/>
        </w:rPr>
        <w:t>民事或家事事件當事人、法定代理人、程序代理人、輔佐人或其他關係人所在與法院間有聲音及影像相互傳送之科技設備而得直接審理者，法院認為適當時，得依聲請或依職權以該設備審理之，不受民事或家事程序法有關規定之限制。</w:t>
      </w:r>
    </w:p>
    <w:p w14:paraId="6A7D66BA" w14:textId="77777777" w:rsidR="00BC58F8" w:rsidRDefault="00237F62" w:rsidP="000845DE">
      <w:pPr>
        <w:pStyle w:val="2"/>
        <w:jc w:val="both"/>
      </w:pPr>
      <w:bookmarkStart w:id="13" w:name="a9"/>
      <w:bookmarkEnd w:id="13"/>
      <w:r w:rsidRPr="00237F62">
        <w:t>第</w:t>
      </w:r>
      <w:r w:rsidRPr="00237F62">
        <w:t>9</w:t>
      </w:r>
      <w:r w:rsidR="00BC58F8">
        <w:t>條</w:t>
      </w:r>
    </w:p>
    <w:p w14:paraId="372B9E1F" w14:textId="0354CF8A" w:rsidR="00BC58F8" w:rsidRDefault="00BC58F8" w:rsidP="000845DE">
      <w:pPr>
        <w:ind w:left="142"/>
        <w:jc w:val="both"/>
        <w:rPr>
          <w:color w:val="17365D"/>
        </w:rPr>
      </w:pPr>
      <w:r w:rsidRPr="00BC58F8">
        <w:rPr>
          <w:color w:val="404040" w:themeColor="text1" w:themeTint="BF"/>
          <w:sz w:val="18"/>
        </w:rPr>
        <w:t>﹝</w:t>
      </w:r>
      <w:r w:rsidRPr="00BC58F8">
        <w:rPr>
          <w:color w:val="404040" w:themeColor="text1" w:themeTint="BF"/>
          <w:sz w:val="18"/>
        </w:rPr>
        <w:t>1</w:t>
      </w:r>
      <w:r w:rsidRPr="00BC58F8">
        <w:rPr>
          <w:color w:val="404040" w:themeColor="text1" w:themeTint="BF"/>
          <w:sz w:val="18"/>
        </w:rPr>
        <w:t>﹞</w:t>
      </w:r>
      <w:r w:rsidR="00237F62" w:rsidRPr="00237F62">
        <w:rPr>
          <w:color w:val="17365D"/>
        </w:rPr>
        <w:t>民事或家事訴訟事件當事人、法定代理人、訴訟代理人、輔佐人或其他關係人指定陳明有電信傳真或電子郵遞設備可供訴訟文書之傳送者，法院得以電信傳真或電子郵遞設備傳送訴訟文書</w:t>
      </w:r>
      <w:r>
        <w:rPr>
          <w:color w:val="17365D"/>
        </w:rPr>
        <w:t>。</w:t>
      </w:r>
    </w:p>
    <w:p w14:paraId="484B362D" w14:textId="14EBE3AB" w:rsidR="00BC58F8" w:rsidRDefault="00BC58F8" w:rsidP="000845DE">
      <w:pPr>
        <w:ind w:left="142"/>
        <w:jc w:val="both"/>
        <w:rPr>
          <w:color w:val="17365D"/>
        </w:rPr>
      </w:pPr>
      <w:r w:rsidRPr="00BC58F8">
        <w:rPr>
          <w:color w:val="404040" w:themeColor="text1" w:themeTint="BF"/>
          <w:sz w:val="18"/>
        </w:rPr>
        <w:t>﹝</w:t>
      </w:r>
      <w:r w:rsidRPr="00BC58F8">
        <w:rPr>
          <w:color w:val="404040" w:themeColor="text1" w:themeTint="BF"/>
          <w:sz w:val="18"/>
        </w:rPr>
        <w:t>2</w:t>
      </w:r>
      <w:r w:rsidRPr="00BC58F8">
        <w:rPr>
          <w:color w:val="404040" w:themeColor="text1" w:themeTint="BF"/>
          <w:sz w:val="18"/>
        </w:rPr>
        <w:t>﹞</w:t>
      </w:r>
      <w:r w:rsidRPr="00F121F7">
        <w:rPr>
          <w:color w:val="666699"/>
        </w:rPr>
        <w:t>前項之傳送與送達有同一效力，不受民事訴訟法第</w:t>
      </w:r>
      <w:hyperlink r:id="rId28" w:anchor="a153b1" w:history="1">
        <w:r w:rsidRPr="000E490F">
          <w:rPr>
            <w:rStyle w:val="a3"/>
            <w:rFonts w:ascii="Times New Roman" w:hAnsi="Times New Roman"/>
          </w:rPr>
          <w:t>一百五十三條之一</w:t>
        </w:r>
      </w:hyperlink>
      <w:r w:rsidRPr="00F121F7">
        <w:rPr>
          <w:color w:val="666699"/>
        </w:rPr>
        <w:t>第一項各款及</w:t>
      </w:r>
      <w:hyperlink r:id="rId29" w:history="1">
        <w:r w:rsidRPr="00E07B6C">
          <w:rPr>
            <w:rStyle w:val="a3"/>
            <w:rFonts w:ascii="Times New Roman" w:hAnsi="Times New Roman"/>
          </w:rPr>
          <w:t>家事事件法</w:t>
        </w:r>
      </w:hyperlink>
      <w:r w:rsidRPr="00F121F7">
        <w:rPr>
          <w:color w:val="666699"/>
        </w:rPr>
        <w:t>有關規定之限制</w:t>
      </w:r>
      <w:r>
        <w:rPr>
          <w:color w:val="17365D"/>
        </w:rPr>
        <w:t>。</w:t>
      </w:r>
    </w:p>
    <w:p w14:paraId="12FC8C36" w14:textId="1CEE3610" w:rsidR="00237F62" w:rsidRPr="00237F62" w:rsidRDefault="00BC58F8" w:rsidP="000845DE">
      <w:pPr>
        <w:ind w:left="142"/>
        <w:jc w:val="both"/>
        <w:rPr>
          <w:color w:val="17365D"/>
        </w:rPr>
      </w:pPr>
      <w:r w:rsidRPr="00BC58F8">
        <w:rPr>
          <w:color w:val="404040" w:themeColor="text1" w:themeTint="BF"/>
          <w:sz w:val="18"/>
        </w:rPr>
        <w:t>﹝</w:t>
      </w:r>
      <w:r w:rsidRPr="00BC58F8">
        <w:rPr>
          <w:color w:val="404040" w:themeColor="text1" w:themeTint="BF"/>
          <w:sz w:val="18"/>
        </w:rPr>
        <w:t>3</w:t>
      </w:r>
      <w:r w:rsidRPr="00BC58F8">
        <w:rPr>
          <w:color w:val="404040" w:themeColor="text1" w:themeTint="BF"/>
          <w:sz w:val="18"/>
        </w:rPr>
        <w:t>﹞</w:t>
      </w:r>
      <w:r w:rsidR="00237F62" w:rsidRPr="00237F62">
        <w:rPr>
          <w:color w:val="17365D"/>
        </w:rPr>
        <w:t>前二項規定，於其他民事及家事程序準用之。但法律別有規定者，依其規定。</w:t>
      </w:r>
    </w:p>
    <w:p w14:paraId="70839B10" w14:textId="77777777" w:rsidR="00BC58F8" w:rsidRDefault="00237F62" w:rsidP="000845DE">
      <w:pPr>
        <w:pStyle w:val="2"/>
        <w:jc w:val="both"/>
      </w:pPr>
      <w:bookmarkStart w:id="14" w:name="a10"/>
      <w:bookmarkEnd w:id="14"/>
      <w:r w:rsidRPr="00237F62">
        <w:t>第</w:t>
      </w:r>
      <w:r w:rsidRPr="00237F62">
        <w:t>10</w:t>
      </w:r>
      <w:r w:rsidR="00BC58F8">
        <w:t>條</w:t>
      </w:r>
    </w:p>
    <w:p w14:paraId="17F23724" w14:textId="0CD15C51" w:rsidR="00BC58F8" w:rsidRDefault="00BC58F8" w:rsidP="000845DE">
      <w:pPr>
        <w:ind w:left="142"/>
        <w:jc w:val="both"/>
        <w:rPr>
          <w:color w:val="17365D"/>
        </w:rPr>
      </w:pPr>
      <w:r w:rsidRPr="00BC58F8">
        <w:rPr>
          <w:color w:val="404040" w:themeColor="text1" w:themeTint="BF"/>
          <w:sz w:val="18"/>
        </w:rPr>
        <w:t>﹝</w:t>
      </w:r>
      <w:r w:rsidRPr="00BC58F8">
        <w:rPr>
          <w:color w:val="404040" w:themeColor="text1" w:themeTint="BF"/>
          <w:sz w:val="18"/>
        </w:rPr>
        <w:t>1</w:t>
      </w:r>
      <w:r w:rsidRPr="00BC58F8">
        <w:rPr>
          <w:color w:val="404040" w:themeColor="text1" w:themeTint="BF"/>
          <w:sz w:val="18"/>
        </w:rPr>
        <w:t>﹞</w:t>
      </w:r>
      <w:r w:rsidR="00237F62" w:rsidRPr="00237F62">
        <w:rPr>
          <w:color w:val="17365D"/>
        </w:rPr>
        <w:t>法院處理民事或家事事件，經徵詢當事人或關係人之意見，並審酌程序進行程度，及可否實施</w:t>
      </w:r>
      <w:hyperlink w:anchor="a3" w:history="1">
        <w:r w:rsidR="00237F62" w:rsidRPr="00500020">
          <w:rPr>
            <w:rStyle w:val="a3"/>
            <w:rFonts w:ascii="Times New Roman" w:hAnsi="Times New Roman"/>
          </w:rPr>
          <w:t>第三條</w:t>
        </w:r>
      </w:hyperlink>
      <w:r w:rsidR="00237F62" w:rsidRPr="00237F62">
        <w:rPr>
          <w:color w:val="17365D"/>
        </w:rPr>
        <w:t>所定處置或措施，或使用科技設備進行等情狀後，認程序繼續進行有重大困難者，得依聲請或依職權裁定停止該事件之程序</w:t>
      </w:r>
      <w:r>
        <w:rPr>
          <w:color w:val="17365D"/>
        </w:rPr>
        <w:t>。</w:t>
      </w:r>
    </w:p>
    <w:p w14:paraId="3BB95B90" w14:textId="6823EB24" w:rsidR="00BC58F8" w:rsidRDefault="00BC58F8" w:rsidP="000845DE">
      <w:pPr>
        <w:ind w:left="142"/>
        <w:jc w:val="both"/>
        <w:rPr>
          <w:color w:val="666699"/>
        </w:rPr>
      </w:pPr>
      <w:r w:rsidRPr="00BC58F8">
        <w:rPr>
          <w:color w:val="404040" w:themeColor="text1" w:themeTint="BF"/>
          <w:sz w:val="18"/>
        </w:rPr>
        <w:t>﹝</w:t>
      </w:r>
      <w:r w:rsidRPr="00BC58F8">
        <w:rPr>
          <w:color w:val="404040" w:themeColor="text1" w:themeTint="BF"/>
          <w:sz w:val="18"/>
        </w:rPr>
        <w:t>2</w:t>
      </w:r>
      <w:r w:rsidRPr="00BC58F8">
        <w:rPr>
          <w:color w:val="404040" w:themeColor="text1" w:themeTint="BF"/>
          <w:sz w:val="18"/>
        </w:rPr>
        <w:t>﹞</w:t>
      </w:r>
      <w:r w:rsidR="00237F62" w:rsidRPr="00F121F7">
        <w:rPr>
          <w:color w:val="666699"/>
        </w:rPr>
        <w:t>前項裁定於停止原因消滅後，法院得依聲請或依職權撤銷之</w:t>
      </w:r>
      <w:r>
        <w:rPr>
          <w:color w:val="666699"/>
        </w:rPr>
        <w:t>。</w:t>
      </w:r>
    </w:p>
    <w:p w14:paraId="0D1ADBE0" w14:textId="111E2544" w:rsidR="00237F62" w:rsidRPr="00237F62" w:rsidRDefault="00BC58F8" w:rsidP="000845DE">
      <w:pPr>
        <w:ind w:left="142"/>
        <w:jc w:val="both"/>
        <w:rPr>
          <w:color w:val="17365D"/>
        </w:rPr>
      </w:pPr>
      <w:r>
        <w:rPr>
          <w:color w:val="666699"/>
        </w:rPr>
        <w:t xml:space="preserve">　　　　</w:t>
      </w:r>
      <w:r w:rsidR="00500020" w:rsidRPr="001049E7">
        <w:rPr>
          <w:rFonts w:hint="eastAsia"/>
        </w:rPr>
        <w:t xml:space="preserve">　　　　　　　　　　　　　　　　　　　　　　　　　　　　　　　　　　　　　　　　</w:t>
      </w:r>
      <w:hyperlink w:anchor="a章節索引" w:history="1">
        <w:r w:rsidR="00500020" w:rsidRPr="003028F9">
          <w:rPr>
            <w:rStyle w:val="a3"/>
            <w:rFonts w:ascii="Arial Unicode MS" w:hAnsi="Arial Unicode MS" w:hint="eastAsia"/>
            <w:sz w:val="18"/>
          </w:rPr>
          <w:t>回索引</w:t>
        </w:r>
      </w:hyperlink>
      <w:r w:rsidR="00500020">
        <w:rPr>
          <w:rFonts w:ascii="Arial Unicode MS" w:hAnsi="Arial Unicode MS" w:hint="eastAsia"/>
          <w:color w:val="808000"/>
          <w:sz w:val="18"/>
        </w:rPr>
        <w:t>〉〉</w:t>
      </w:r>
    </w:p>
    <w:p w14:paraId="6AA2FA47" w14:textId="77777777" w:rsidR="00237F62" w:rsidRPr="00237F62" w:rsidRDefault="00237F62" w:rsidP="000845DE">
      <w:pPr>
        <w:pStyle w:val="1"/>
        <w:jc w:val="both"/>
      </w:pPr>
      <w:bookmarkStart w:id="15" w:name="_第四章__行政訴訟事件、公務員懲戒案件及職務法庭案件"/>
      <w:bookmarkEnd w:id="15"/>
      <w:r w:rsidRPr="00237F62">
        <w:t>第四章　　行政訴訟事件、公務員懲戒案件及職務法庭案件</w:t>
      </w:r>
    </w:p>
    <w:p w14:paraId="00B11A83" w14:textId="77777777" w:rsidR="00BC58F8" w:rsidRDefault="00237F62" w:rsidP="000845DE">
      <w:pPr>
        <w:pStyle w:val="2"/>
        <w:jc w:val="both"/>
      </w:pPr>
      <w:bookmarkStart w:id="16" w:name="a11"/>
      <w:bookmarkEnd w:id="16"/>
      <w:r w:rsidRPr="00237F62">
        <w:t>第</w:t>
      </w:r>
      <w:r w:rsidRPr="00237F62">
        <w:t>11</w:t>
      </w:r>
      <w:r w:rsidR="00BC58F8">
        <w:t>條</w:t>
      </w:r>
    </w:p>
    <w:p w14:paraId="025C24AC" w14:textId="454F3FAE" w:rsidR="00237F62" w:rsidRPr="00237F62" w:rsidRDefault="00BC58F8" w:rsidP="000845DE">
      <w:pPr>
        <w:ind w:left="142"/>
        <w:jc w:val="both"/>
        <w:rPr>
          <w:color w:val="17365D"/>
        </w:rPr>
      </w:pPr>
      <w:r w:rsidRPr="00BC58F8">
        <w:rPr>
          <w:color w:val="404040" w:themeColor="text1" w:themeTint="BF"/>
          <w:sz w:val="18"/>
        </w:rPr>
        <w:t>﹝</w:t>
      </w:r>
      <w:r w:rsidRPr="00BC58F8">
        <w:rPr>
          <w:color w:val="404040" w:themeColor="text1" w:themeTint="BF"/>
          <w:sz w:val="18"/>
        </w:rPr>
        <w:t>1</w:t>
      </w:r>
      <w:r w:rsidRPr="00BC58F8">
        <w:rPr>
          <w:color w:val="404040" w:themeColor="text1" w:themeTint="BF"/>
          <w:sz w:val="18"/>
        </w:rPr>
        <w:t>﹞</w:t>
      </w:r>
      <w:r w:rsidR="00237F62" w:rsidRPr="00237F62">
        <w:rPr>
          <w:color w:val="17365D"/>
        </w:rPr>
        <w:t>法官職務案件文書之提出或送達，得依</w:t>
      </w:r>
      <w:hyperlink r:id="rId30" w:history="1">
        <w:r w:rsidR="00237F62" w:rsidRPr="00500020">
          <w:rPr>
            <w:rStyle w:val="a3"/>
            <w:rFonts w:ascii="Times New Roman" w:hAnsi="Times New Roman"/>
          </w:rPr>
          <w:t>行政訴訟文書使用電信傳真或其他科技設備作業辦法</w:t>
        </w:r>
      </w:hyperlink>
      <w:r w:rsidR="00237F62" w:rsidRPr="00237F62">
        <w:rPr>
          <w:color w:val="17365D"/>
        </w:rPr>
        <w:t>之規定，以電信傳真或其他科技設備傳送。</w:t>
      </w:r>
    </w:p>
    <w:p w14:paraId="29845CD0" w14:textId="77777777" w:rsidR="00BC58F8" w:rsidRDefault="00237F62" w:rsidP="000845DE">
      <w:pPr>
        <w:pStyle w:val="2"/>
        <w:jc w:val="both"/>
      </w:pPr>
      <w:bookmarkStart w:id="17" w:name="a12"/>
      <w:bookmarkEnd w:id="17"/>
      <w:r w:rsidRPr="00237F62">
        <w:t>第</w:t>
      </w:r>
      <w:r w:rsidRPr="00237F62">
        <w:t>12</w:t>
      </w:r>
      <w:r w:rsidR="00BC58F8">
        <w:t>條</w:t>
      </w:r>
    </w:p>
    <w:p w14:paraId="6A460562" w14:textId="2B9565FC" w:rsidR="00BC58F8" w:rsidRDefault="00BC58F8" w:rsidP="000845DE">
      <w:pPr>
        <w:ind w:left="142"/>
        <w:jc w:val="both"/>
        <w:rPr>
          <w:color w:val="17365D"/>
        </w:rPr>
      </w:pPr>
      <w:r w:rsidRPr="00BC58F8">
        <w:rPr>
          <w:color w:val="404040" w:themeColor="text1" w:themeTint="BF"/>
          <w:sz w:val="18"/>
        </w:rPr>
        <w:t>﹝</w:t>
      </w:r>
      <w:r w:rsidRPr="00BC58F8">
        <w:rPr>
          <w:color w:val="404040" w:themeColor="text1" w:themeTint="BF"/>
          <w:sz w:val="18"/>
        </w:rPr>
        <w:t>1</w:t>
      </w:r>
      <w:r w:rsidRPr="00BC58F8">
        <w:rPr>
          <w:color w:val="404040" w:themeColor="text1" w:themeTint="BF"/>
          <w:sz w:val="18"/>
        </w:rPr>
        <w:t>﹞</w:t>
      </w:r>
      <w:r w:rsidR="00237F62" w:rsidRPr="00237F62">
        <w:rPr>
          <w:color w:val="17365D"/>
        </w:rPr>
        <w:t>法院處理行政訴訟事件、公務員懲戒案件、法官、檢察官懲戒案件及法官職務案件，經徵詢當事人、辯護人、代理人、代表人及輔佐人之意見，並審酌程序進行程度，及可否實施</w:t>
      </w:r>
      <w:hyperlink w:anchor="a3" w:history="1">
        <w:r w:rsidR="00237F62" w:rsidRPr="00500020">
          <w:rPr>
            <w:rStyle w:val="a3"/>
            <w:rFonts w:ascii="Times New Roman" w:hAnsi="Times New Roman"/>
          </w:rPr>
          <w:t>第三條</w:t>
        </w:r>
      </w:hyperlink>
      <w:r w:rsidR="00237F62" w:rsidRPr="00237F62">
        <w:rPr>
          <w:color w:val="17365D"/>
        </w:rPr>
        <w:t>所定處置或措施，或使用科技設備進行等情狀後，認程序繼續進行有重大困難者，得依聲請或依職權裁定停止該事件之程序</w:t>
      </w:r>
      <w:r>
        <w:rPr>
          <w:color w:val="17365D"/>
        </w:rPr>
        <w:t>。</w:t>
      </w:r>
    </w:p>
    <w:p w14:paraId="0912B905" w14:textId="5C59D847" w:rsidR="00BC58F8" w:rsidRDefault="00BC58F8" w:rsidP="000845DE">
      <w:pPr>
        <w:ind w:left="142"/>
        <w:jc w:val="both"/>
        <w:rPr>
          <w:color w:val="666699"/>
        </w:rPr>
      </w:pPr>
      <w:r w:rsidRPr="00BC58F8">
        <w:rPr>
          <w:color w:val="404040" w:themeColor="text1" w:themeTint="BF"/>
          <w:sz w:val="18"/>
        </w:rPr>
        <w:t>﹝</w:t>
      </w:r>
      <w:r w:rsidRPr="00BC58F8">
        <w:rPr>
          <w:color w:val="404040" w:themeColor="text1" w:themeTint="BF"/>
          <w:sz w:val="18"/>
        </w:rPr>
        <w:t>2</w:t>
      </w:r>
      <w:r w:rsidRPr="00BC58F8">
        <w:rPr>
          <w:color w:val="404040" w:themeColor="text1" w:themeTint="BF"/>
          <w:sz w:val="18"/>
        </w:rPr>
        <w:t>﹞</w:t>
      </w:r>
      <w:r w:rsidR="00237F62" w:rsidRPr="00F121F7">
        <w:rPr>
          <w:color w:val="666699"/>
        </w:rPr>
        <w:t>前項裁定於停止原因消滅後，法院得依聲請或依職權撤銷之</w:t>
      </w:r>
      <w:r>
        <w:rPr>
          <w:color w:val="666699"/>
        </w:rPr>
        <w:t>。</w:t>
      </w:r>
    </w:p>
    <w:p w14:paraId="5D22F331" w14:textId="26B40650" w:rsidR="00237F62" w:rsidRPr="00237F62" w:rsidRDefault="00BC58F8" w:rsidP="000845DE">
      <w:pPr>
        <w:ind w:left="142"/>
        <w:jc w:val="both"/>
        <w:rPr>
          <w:color w:val="17365D"/>
        </w:rPr>
      </w:pPr>
      <w:r>
        <w:rPr>
          <w:color w:val="666699"/>
        </w:rPr>
        <w:t xml:space="preserve">　　　　</w:t>
      </w:r>
      <w:r w:rsidR="00500020" w:rsidRPr="001049E7">
        <w:rPr>
          <w:rFonts w:hint="eastAsia"/>
        </w:rPr>
        <w:t xml:space="preserve">　　　　　　　　　　　　　　　　　　　　　　　　　　　　　　　　　　　　　　　　</w:t>
      </w:r>
      <w:hyperlink w:anchor="a章節索引" w:history="1">
        <w:r w:rsidR="00500020" w:rsidRPr="003028F9">
          <w:rPr>
            <w:rStyle w:val="a3"/>
            <w:rFonts w:ascii="Arial Unicode MS" w:hAnsi="Arial Unicode MS" w:hint="eastAsia"/>
            <w:sz w:val="18"/>
          </w:rPr>
          <w:t>回索引</w:t>
        </w:r>
      </w:hyperlink>
      <w:r w:rsidR="00500020">
        <w:rPr>
          <w:rFonts w:ascii="Arial Unicode MS" w:hAnsi="Arial Unicode MS" w:hint="eastAsia"/>
          <w:color w:val="808000"/>
          <w:sz w:val="18"/>
        </w:rPr>
        <w:t>〉〉</w:t>
      </w:r>
    </w:p>
    <w:p w14:paraId="5AE6B2CF" w14:textId="77777777" w:rsidR="00237F62" w:rsidRPr="00237F62" w:rsidRDefault="00237F62" w:rsidP="000845DE">
      <w:pPr>
        <w:pStyle w:val="1"/>
        <w:jc w:val="both"/>
      </w:pPr>
      <w:bookmarkStart w:id="18" w:name="_第五章__附則"/>
      <w:bookmarkEnd w:id="18"/>
      <w:r w:rsidRPr="00237F62">
        <w:t>第五章　　附則</w:t>
      </w:r>
    </w:p>
    <w:p w14:paraId="2C48609E" w14:textId="77777777" w:rsidR="00BC58F8" w:rsidRDefault="00237F62" w:rsidP="000845DE">
      <w:pPr>
        <w:pStyle w:val="2"/>
        <w:jc w:val="both"/>
      </w:pPr>
      <w:bookmarkStart w:id="19" w:name="a13"/>
      <w:bookmarkEnd w:id="19"/>
      <w:r w:rsidRPr="00237F62">
        <w:t>第</w:t>
      </w:r>
      <w:r w:rsidRPr="00237F62">
        <w:t>13</w:t>
      </w:r>
      <w:r w:rsidR="00BC58F8">
        <w:t>條</w:t>
      </w:r>
    </w:p>
    <w:p w14:paraId="775EB1A3" w14:textId="6EEA91C3" w:rsidR="00BC58F8" w:rsidRDefault="00BC58F8" w:rsidP="000845DE">
      <w:pPr>
        <w:ind w:left="142"/>
        <w:jc w:val="both"/>
        <w:rPr>
          <w:color w:val="17365D"/>
        </w:rPr>
      </w:pPr>
      <w:r w:rsidRPr="00BC58F8">
        <w:rPr>
          <w:color w:val="404040" w:themeColor="text1" w:themeTint="BF"/>
          <w:sz w:val="18"/>
        </w:rPr>
        <w:t>﹝</w:t>
      </w:r>
      <w:r w:rsidRPr="00BC58F8">
        <w:rPr>
          <w:color w:val="404040" w:themeColor="text1" w:themeTint="BF"/>
          <w:sz w:val="18"/>
        </w:rPr>
        <w:t>1</w:t>
      </w:r>
      <w:r w:rsidRPr="00BC58F8">
        <w:rPr>
          <w:color w:val="404040" w:themeColor="text1" w:themeTint="BF"/>
          <w:sz w:val="18"/>
        </w:rPr>
        <w:t>﹞</w:t>
      </w:r>
      <w:r w:rsidR="00237F62" w:rsidRPr="00237F62">
        <w:rPr>
          <w:color w:val="17365D"/>
        </w:rPr>
        <w:t>本條例自公布日施行，至中華民國一百十二年六月三十日止</w:t>
      </w:r>
      <w:r>
        <w:rPr>
          <w:color w:val="17365D"/>
        </w:rPr>
        <w:t>。</w:t>
      </w:r>
    </w:p>
    <w:p w14:paraId="4A15AB80" w14:textId="2D7923BF" w:rsidR="00845988" w:rsidRPr="00237F62" w:rsidRDefault="00BC58F8" w:rsidP="000845DE">
      <w:pPr>
        <w:ind w:left="142"/>
        <w:jc w:val="both"/>
        <w:rPr>
          <w:rFonts w:ascii="Arial Unicode MS" w:hAnsi="Arial Unicode MS"/>
          <w:color w:val="666699"/>
        </w:rPr>
      </w:pPr>
      <w:r w:rsidRPr="00BC58F8">
        <w:rPr>
          <w:color w:val="404040" w:themeColor="text1" w:themeTint="BF"/>
          <w:sz w:val="18"/>
        </w:rPr>
        <w:t>﹝</w:t>
      </w:r>
      <w:r w:rsidRPr="00BC58F8">
        <w:rPr>
          <w:color w:val="404040" w:themeColor="text1" w:themeTint="BF"/>
          <w:sz w:val="18"/>
        </w:rPr>
        <w:t>2</w:t>
      </w:r>
      <w:r w:rsidRPr="00BC58F8">
        <w:rPr>
          <w:color w:val="404040" w:themeColor="text1" w:themeTint="BF"/>
          <w:sz w:val="18"/>
        </w:rPr>
        <w:t>﹞</w:t>
      </w:r>
      <w:r w:rsidR="00237F62" w:rsidRPr="00237F62">
        <w:rPr>
          <w:color w:val="666699"/>
        </w:rPr>
        <w:t>本條例施行期間屆滿，得經立法院同意延長之。</w:t>
      </w:r>
    </w:p>
    <w:p w14:paraId="3C6137F9" w14:textId="77777777" w:rsidR="00431EEC" w:rsidRPr="00C01BC3" w:rsidRDefault="00431EEC" w:rsidP="00360C9D">
      <w:pPr>
        <w:ind w:left="142"/>
        <w:jc w:val="both"/>
        <w:rPr>
          <w:rFonts w:ascii="Arial Unicode MS" w:hAnsi="Arial Unicode MS"/>
          <w:color w:val="17365D"/>
        </w:rPr>
      </w:pPr>
    </w:p>
    <w:p w14:paraId="00571184" w14:textId="77777777" w:rsidR="00431EEC" w:rsidRPr="00D244FB" w:rsidRDefault="00431EEC" w:rsidP="00360C9D">
      <w:pPr>
        <w:ind w:left="142"/>
        <w:jc w:val="both"/>
        <w:rPr>
          <w:rFonts w:ascii="Arial Unicode MS" w:hAnsi="Arial Unicode MS"/>
          <w:color w:val="17365D"/>
        </w:rPr>
      </w:pPr>
    </w:p>
    <w:p w14:paraId="2747B3AC" w14:textId="77777777" w:rsidR="00A51BA6" w:rsidRPr="00C1655B" w:rsidRDefault="00A51BA6" w:rsidP="00A51BA6">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w:t>
        </w:r>
        <w:r w:rsidRPr="00C1655B">
          <w:rPr>
            <w:rStyle w:val="a3"/>
            <w:rFonts w:ascii="Arial Unicode MS" w:hAnsi="Arial Unicode MS" w:hint="eastAsia"/>
            <w:sz w:val="18"/>
          </w:rPr>
          <w:t>首</w:t>
        </w:r>
        <w:r w:rsidRPr="00C1655B">
          <w:rPr>
            <w:rStyle w:val="a3"/>
            <w:rFonts w:ascii="Arial Unicode MS" w:hAnsi="Arial Unicode MS" w:hint="eastAsia"/>
            <w:sz w:val="18"/>
          </w:rPr>
          <w:t>頁</w:t>
        </w:r>
      </w:hyperlink>
      <w:r w:rsidRPr="00C1655B">
        <w:rPr>
          <w:rStyle w:val="a3"/>
          <w:rFonts w:ascii="Arial Unicode MS" w:hAnsi="Arial Unicode MS" w:hint="eastAsia"/>
          <w:b/>
          <w:sz w:val="18"/>
          <w:u w:val="none"/>
        </w:rPr>
        <w:t>〉〉</w:t>
      </w:r>
    </w:p>
    <w:p w14:paraId="04C4823D" w14:textId="4A76C0BD" w:rsidR="00431EEC" w:rsidRPr="00A51BA6" w:rsidRDefault="00A51BA6" w:rsidP="00A51BA6">
      <w:pPr>
        <w:ind w:leftChars="71" w:left="142"/>
        <w:jc w:val="both"/>
        <w:rPr>
          <w:rFonts w:ascii="Arial Unicode MS" w:hAnsi="Arial Unicode MS"/>
          <w:color w:val="808080"/>
          <w:sz w:val="18"/>
          <w:szCs w:val="20"/>
        </w:rPr>
      </w:pPr>
      <w:r w:rsidRPr="003D460F">
        <w:rPr>
          <w:rFonts w:hint="eastAsia"/>
          <w:color w:val="5F5F5F"/>
          <w:sz w:val="18"/>
          <w:szCs w:val="18"/>
        </w:rPr>
        <w:t>【編註】</w:t>
      </w:r>
      <w:r w:rsidR="000C3556">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w:t>
      </w:r>
      <w:r w:rsidRPr="003D460F">
        <w:rPr>
          <w:rFonts w:hint="eastAsia"/>
          <w:color w:val="5F5F5F"/>
          <w:sz w:val="18"/>
          <w:szCs w:val="18"/>
        </w:rPr>
        <w:lastRenderedPageBreak/>
        <w:t>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31" w:history="1">
        <w:r w:rsidRPr="00D2412B">
          <w:rPr>
            <w:rStyle w:val="a3"/>
            <w:rFonts w:ascii="Arial Unicode MS" w:hAnsi="Arial Unicode MS"/>
            <w:sz w:val="18"/>
            <w:szCs w:val="20"/>
          </w:rPr>
          <w:t>告知</w:t>
        </w:r>
      </w:hyperlink>
      <w:r w:rsidRPr="003D460F">
        <w:rPr>
          <w:rFonts w:hint="eastAsia"/>
          <w:color w:val="5F5F5F"/>
          <w:sz w:val="18"/>
          <w:szCs w:val="20"/>
        </w:rPr>
        <w:t>，謝謝！</w:t>
      </w:r>
    </w:p>
    <w:sectPr w:rsidR="00431EEC" w:rsidRPr="00A51BA6">
      <w:footerReference w:type="even" r:id="rId32"/>
      <w:footerReference w:type="default" r:id="rId33"/>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4B649" w14:textId="77777777" w:rsidR="00022EDE" w:rsidRDefault="00022EDE">
      <w:r>
        <w:separator/>
      </w:r>
    </w:p>
  </w:endnote>
  <w:endnote w:type="continuationSeparator" w:id="0">
    <w:p w14:paraId="40A29BAB" w14:textId="77777777" w:rsidR="00022EDE" w:rsidRDefault="00022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21868" w14:textId="77777777" w:rsidR="00A6011A" w:rsidRDefault="00A6011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C7F0993" w14:textId="77777777" w:rsidR="00A6011A" w:rsidRDefault="00A6011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02D90" w14:textId="77777777" w:rsidR="00A6011A" w:rsidRDefault="00A6011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87879">
      <w:rPr>
        <w:rStyle w:val="a7"/>
        <w:noProof/>
      </w:rPr>
      <w:t>1</w:t>
    </w:r>
    <w:r>
      <w:rPr>
        <w:rStyle w:val="a7"/>
      </w:rPr>
      <w:fldChar w:fldCharType="end"/>
    </w:r>
  </w:p>
  <w:p w14:paraId="7D209865" w14:textId="5D356F9E" w:rsidR="00A6011A" w:rsidRPr="009758FD" w:rsidRDefault="00DD42DD" w:rsidP="005360FE">
    <w:pPr>
      <w:pStyle w:val="a6"/>
      <w:wordWrap w:val="0"/>
      <w:ind w:right="360"/>
      <w:jc w:val="right"/>
      <w:rPr>
        <w:rFonts w:ascii="Arial Unicode MS" w:hAnsi="Arial Unicode MS"/>
        <w:sz w:val="18"/>
      </w:rPr>
    </w:pPr>
    <w:r>
      <w:rPr>
        <w:rFonts w:ascii="Arial Unicode MS" w:hAnsi="Arial Unicode MS" w:hint="eastAsia"/>
        <w:color w:val="000000"/>
        <w:sz w:val="18"/>
      </w:rPr>
      <w:t>〈〈</w:t>
    </w:r>
    <w:r w:rsidR="00237F62" w:rsidRPr="00237F62">
      <w:rPr>
        <w:rFonts w:ascii="Arial Unicode MS" w:hAnsi="Arial Unicode MS" w:hint="eastAsia"/>
        <w:color w:val="000000"/>
        <w:sz w:val="18"/>
        <w:szCs w:val="24"/>
      </w:rPr>
      <w:t>傳染病流行疫情嚴重期間司法程序特別條例</w:t>
    </w:r>
    <w:r>
      <w:rPr>
        <w:rFonts w:ascii="Arial Unicode MS" w:hAnsi="Arial Unicode MS" w:hint="eastAsia"/>
        <w:color w:val="000000"/>
        <w:sz w:val="18"/>
      </w:rPr>
      <w:t>〉〉</w:t>
    </w:r>
    <w:r w:rsidR="00A6011A" w:rsidRPr="009758FD">
      <w:rPr>
        <w:rFonts w:ascii="Arial Unicode MS" w:hAnsi="Arial Unicode MS" w:hint="eastAsia"/>
        <w:sz w:val="18"/>
      </w:rPr>
      <w:t>S-link</w:t>
    </w:r>
    <w:r w:rsidR="00A6011A" w:rsidRPr="009758FD">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75CBF" w14:textId="77777777" w:rsidR="00022EDE" w:rsidRDefault="00022EDE">
      <w:r>
        <w:separator/>
      </w:r>
    </w:p>
  </w:footnote>
  <w:footnote w:type="continuationSeparator" w:id="0">
    <w:p w14:paraId="1B9F1202" w14:textId="77777777" w:rsidR="00022EDE" w:rsidRDefault="00022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15:restartNumberingAfterBreak="0">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CC8"/>
    <w:rsid w:val="0000444A"/>
    <w:rsid w:val="00010878"/>
    <w:rsid w:val="00022EDE"/>
    <w:rsid w:val="0003470A"/>
    <w:rsid w:val="00037674"/>
    <w:rsid w:val="00041F63"/>
    <w:rsid w:val="000443FD"/>
    <w:rsid w:val="00051407"/>
    <w:rsid w:val="00062D17"/>
    <w:rsid w:val="0006505D"/>
    <w:rsid w:val="0007318D"/>
    <w:rsid w:val="000845DE"/>
    <w:rsid w:val="00087879"/>
    <w:rsid w:val="000A458A"/>
    <w:rsid w:val="000A7115"/>
    <w:rsid w:val="000C1DAC"/>
    <w:rsid w:val="000C3556"/>
    <w:rsid w:val="000D31F2"/>
    <w:rsid w:val="000D710E"/>
    <w:rsid w:val="000D7583"/>
    <w:rsid w:val="000E490F"/>
    <w:rsid w:val="000E5F6B"/>
    <w:rsid w:val="000F3EA3"/>
    <w:rsid w:val="00100662"/>
    <w:rsid w:val="0012255A"/>
    <w:rsid w:val="001415EF"/>
    <w:rsid w:val="00143B85"/>
    <w:rsid w:val="00151F81"/>
    <w:rsid w:val="001662B2"/>
    <w:rsid w:val="001668E9"/>
    <w:rsid w:val="00173A16"/>
    <w:rsid w:val="00177095"/>
    <w:rsid w:val="001A49BA"/>
    <w:rsid w:val="001A7DEB"/>
    <w:rsid w:val="001C258B"/>
    <w:rsid w:val="001D6830"/>
    <w:rsid w:val="001E4EAE"/>
    <w:rsid w:val="001F4C97"/>
    <w:rsid w:val="0022136A"/>
    <w:rsid w:val="00222E53"/>
    <w:rsid w:val="002275F3"/>
    <w:rsid w:val="00237F62"/>
    <w:rsid w:val="0024136E"/>
    <w:rsid w:val="00241BBE"/>
    <w:rsid w:val="00260074"/>
    <w:rsid w:val="002614EA"/>
    <w:rsid w:val="002B4B9C"/>
    <w:rsid w:val="002B565A"/>
    <w:rsid w:val="002D10E9"/>
    <w:rsid w:val="002E3B23"/>
    <w:rsid w:val="002E6DCE"/>
    <w:rsid w:val="002F5997"/>
    <w:rsid w:val="0031479F"/>
    <w:rsid w:val="00316FDB"/>
    <w:rsid w:val="003222AE"/>
    <w:rsid w:val="00322A95"/>
    <w:rsid w:val="00347E94"/>
    <w:rsid w:val="003555EC"/>
    <w:rsid w:val="00356810"/>
    <w:rsid w:val="00360C9D"/>
    <w:rsid w:val="003701DD"/>
    <w:rsid w:val="00373827"/>
    <w:rsid w:val="00381C40"/>
    <w:rsid w:val="003B13F3"/>
    <w:rsid w:val="003D35D6"/>
    <w:rsid w:val="003E3D75"/>
    <w:rsid w:val="003F75CC"/>
    <w:rsid w:val="00411C6D"/>
    <w:rsid w:val="00431EEC"/>
    <w:rsid w:val="004339F1"/>
    <w:rsid w:val="004457D2"/>
    <w:rsid w:val="0045269A"/>
    <w:rsid w:val="00452F61"/>
    <w:rsid w:val="00494A3E"/>
    <w:rsid w:val="004A0CC8"/>
    <w:rsid w:val="004B52A7"/>
    <w:rsid w:val="004B666F"/>
    <w:rsid w:val="004D1AE3"/>
    <w:rsid w:val="004D590E"/>
    <w:rsid w:val="004E21D2"/>
    <w:rsid w:val="004F73FB"/>
    <w:rsid w:val="00500020"/>
    <w:rsid w:val="005004A3"/>
    <w:rsid w:val="005075C1"/>
    <w:rsid w:val="005360FE"/>
    <w:rsid w:val="00561FD3"/>
    <w:rsid w:val="00565C88"/>
    <w:rsid w:val="00567A84"/>
    <w:rsid w:val="00570166"/>
    <w:rsid w:val="005805AB"/>
    <w:rsid w:val="00587BCC"/>
    <w:rsid w:val="00590A08"/>
    <w:rsid w:val="005A3BDD"/>
    <w:rsid w:val="005A4EEC"/>
    <w:rsid w:val="005A65D4"/>
    <w:rsid w:val="005C7F6E"/>
    <w:rsid w:val="005C7F8A"/>
    <w:rsid w:val="005F4657"/>
    <w:rsid w:val="006250A0"/>
    <w:rsid w:val="006254EE"/>
    <w:rsid w:val="0063000B"/>
    <w:rsid w:val="00632BB0"/>
    <w:rsid w:val="006631DB"/>
    <w:rsid w:val="00664DFB"/>
    <w:rsid w:val="00683312"/>
    <w:rsid w:val="006A2BCA"/>
    <w:rsid w:val="006A4941"/>
    <w:rsid w:val="006B2AE3"/>
    <w:rsid w:val="006B3D46"/>
    <w:rsid w:val="006D0623"/>
    <w:rsid w:val="006D72FF"/>
    <w:rsid w:val="006E01BF"/>
    <w:rsid w:val="006E3BC0"/>
    <w:rsid w:val="006E705F"/>
    <w:rsid w:val="006F00F5"/>
    <w:rsid w:val="00703E61"/>
    <w:rsid w:val="007043B6"/>
    <w:rsid w:val="00707A19"/>
    <w:rsid w:val="007307BD"/>
    <w:rsid w:val="00733D34"/>
    <w:rsid w:val="00755DE6"/>
    <w:rsid w:val="00763D80"/>
    <w:rsid w:val="00765F96"/>
    <w:rsid w:val="007720A1"/>
    <w:rsid w:val="00787B46"/>
    <w:rsid w:val="007B4E78"/>
    <w:rsid w:val="007B5269"/>
    <w:rsid w:val="007C5BAB"/>
    <w:rsid w:val="007D7E8D"/>
    <w:rsid w:val="007F3639"/>
    <w:rsid w:val="00827B05"/>
    <w:rsid w:val="0083757D"/>
    <w:rsid w:val="00845988"/>
    <w:rsid w:val="00847FDF"/>
    <w:rsid w:val="008B03F1"/>
    <w:rsid w:val="008B5BAE"/>
    <w:rsid w:val="008C1688"/>
    <w:rsid w:val="008C274C"/>
    <w:rsid w:val="008C4620"/>
    <w:rsid w:val="008C7018"/>
    <w:rsid w:val="008D7AA9"/>
    <w:rsid w:val="008E5159"/>
    <w:rsid w:val="0091603F"/>
    <w:rsid w:val="00931235"/>
    <w:rsid w:val="00945AD0"/>
    <w:rsid w:val="0095145E"/>
    <w:rsid w:val="00956013"/>
    <w:rsid w:val="009612D7"/>
    <w:rsid w:val="009758FD"/>
    <w:rsid w:val="0099154E"/>
    <w:rsid w:val="00991F3F"/>
    <w:rsid w:val="00995A2A"/>
    <w:rsid w:val="009D286B"/>
    <w:rsid w:val="009D54F3"/>
    <w:rsid w:val="009E0895"/>
    <w:rsid w:val="00A276FD"/>
    <w:rsid w:val="00A42023"/>
    <w:rsid w:val="00A43518"/>
    <w:rsid w:val="00A47A95"/>
    <w:rsid w:val="00A51BA6"/>
    <w:rsid w:val="00A5787E"/>
    <w:rsid w:val="00A6011A"/>
    <w:rsid w:val="00A63811"/>
    <w:rsid w:val="00A71C27"/>
    <w:rsid w:val="00A71EEA"/>
    <w:rsid w:val="00A74392"/>
    <w:rsid w:val="00AB3534"/>
    <w:rsid w:val="00AD52B5"/>
    <w:rsid w:val="00AF1681"/>
    <w:rsid w:val="00AF2E81"/>
    <w:rsid w:val="00AF6DDB"/>
    <w:rsid w:val="00B27F2D"/>
    <w:rsid w:val="00B51635"/>
    <w:rsid w:val="00B61B2E"/>
    <w:rsid w:val="00B61EA2"/>
    <w:rsid w:val="00B734E4"/>
    <w:rsid w:val="00BA360D"/>
    <w:rsid w:val="00BA44A4"/>
    <w:rsid w:val="00BA76F9"/>
    <w:rsid w:val="00BB31DC"/>
    <w:rsid w:val="00BC2A52"/>
    <w:rsid w:val="00BC58F8"/>
    <w:rsid w:val="00BC70EF"/>
    <w:rsid w:val="00BF26BB"/>
    <w:rsid w:val="00C01BC3"/>
    <w:rsid w:val="00C30DB5"/>
    <w:rsid w:val="00C34270"/>
    <w:rsid w:val="00C357DC"/>
    <w:rsid w:val="00C358A8"/>
    <w:rsid w:val="00C42B4D"/>
    <w:rsid w:val="00C50466"/>
    <w:rsid w:val="00C601BF"/>
    <w:rsid w:val="00C812BD"/>
    <w:rsid w:val="00C83397"/>
    <w:rsid w:val="00D027CD"/>
    <w:rsid w:val="00D046B8"/>
    <w:rsid w:val="00D0599F"/>
    <w:rsid w:val="00D2412B"/>
    <w:rsid w:val="00D244FB"/>
    <w:rsid w:val="00D2753B"/>
    <w:rsid w:val="00D27DEA"/>
    <w:rsid w:val="00D36745"/>
    <w:rsid w:val="00D36C72"/>
    <w:rsid w:val="00D409E5"/>
    <w:rsid w:val="00D66E62"/>
    <w:rsid w:val="00D81359"/>
    <w:rsid w:val="00DD42DD"/>
    <w:rsid w:val="00DE0054"/>
    <w:rsid w:val="00E07B6C"/>
    <w:rsid w:val="00E13A0E"/>
    <w:rsid w:val="00E31347"/>
    <w:rsid w:val="00E3177E"/>
    <w:rsid w:val="00E44D88"/>
    <w:rsid w:val="00E623BE"/>
    <w:rsid w:val="00E678EC"/>
    <w:rsid w:val="00E718BD"/>
    <w:rsid w:val="00E81351"/>
    <w:rsid w:val="00E94405"/>
    <w:rsid w:val="00E94B1F"/>
    <w:rsid w:val="00EB2BDE"/>
    <w:rsid w:val="00EB52F5"/>
    <w:rsid w:val="00EC1889"/>
    <w:rsid w:val="00EC1B72"/>
    <w:rsid w:val="00F07952"/>
    <w:rsid w:val="00F121F7"/>
    <w:rsid w:val="00F126D7"/>
    <w:rsid w:val="00F2026D"/>
    <w:rsid w:val="00F26B7D"/>
    <w:rsid w:val="00F3421C"/>
    <w:rsid w:val="00F43973"/>
    <w:rsid w:val="00F602E3"/>
    <w:rsid w:val="00F70246"/>
    <w:rsid w:val="00F73000"/>
    <w:rsid w:val="00F82645"/>
    <w:rsid w:val="00F90722"/>
    <w:rsid w:val="00F95B90"/>
    <w:rsid w:val="00FB046E"/>
    <w:rsid w:val="00FB3689"/>
    <w:rsid w:val="00FB4009"/>
    <w:rsid w:val="00FC1724"/>
    <w:rsid w:val="00FC5363"/>
    <w:rsid w:val="00FE1465"/>
    <w:rsid w:val="00FE3136"/>
    <w:rsid w:val="00FF02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177411"/>
  <w15:docId w15:val="{C01A67DF-3848-4F69-BFC2-C62EEFFD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154E"/>
    <w:pPr>
      <w:widowControl w:val="0"/>
    </w:pPr>
    <w:rPr>
      <w:kern w:val="2"/>
      <w:szCs w:val="24"/>
    </w:rPr>
  </w:style>
  <w:style w:type="paragraph" w:styleId="1">
    <w:name w:val="heading 1"/>
    <w:basedOn w:val="a"/>
    <w:next w:val="a"/>
    <w:link w:val="10"/>
    <w:autoRedefine/>
    <w:uiPriority w:val="9"/>
    <w:qFormat/>
    <w:rsid w:val="00237F62"/>
    <w:pPr>
      <w:keepNext/>
      <w:adjustRightInd w:val="0"/>
      <w:snapToGrid w:val="0"/>
      <w:spacing w:beforeLines="30" w:before="108" w:afterLines="30" w:after="108"/>
      <w:outlineLvl w:val="0"/>
    </w:pPr>
    <w:rPr>
      <w:rFonts w:ascii="Arial Unicode MS" w:hAnsi="Arial Unicode MS" w:cs="Arial Unicode MS"/>
      <w:b/>
      <w:bCs/>
      <w:color w:val="000080"/>
      <w:szCs w:val="52"/>
    </w:rPr>
  </w:style>
  <w:style w:type="paragraph" w:styleId="2">
    <w:name w:val="heading 2"/>
    <w:basedOn w:val="a"/>
    <w:next w:val="a"/>
    <w:link w:val="20"/>
    <w:uiPriority w:val="9"/>
    <w:unhideWhenUsed/>
    <w:qFormat/>
    <w:rsid w:val="00F121F7"/>
    <w:pPr>
      <w:keepNext/>
      <w:adjustRightInd w:val="0"/>
      <w:snapToGrid w:val="0"/>
      <w:spacing w:beforeLines="30" w:before="108" w:afterLines="30" w:after="108"/>
      <w:outlineLvl w:val="1"/>
    </w:pPr>
    <w:rPr>
      <w:rFonts w:ascii="Arial Unicode MS" w:hAnsi="Arial Unicode MS" w:cs="Arial Unicode MS"/>
      <w:b/>
      <w:bCs/>
      <w:color w:val="990000"/>
      <w:szCs w:val="48"/>
    </w:rPr>
  </w:style>
  <w:style w:type="paragraph" w:styleId="3">
    <w:name w:val="heading 3"/>
    <w:basedOn w:val="a"/>
    <w:link w:val="30"/>
    <w:qFormat/>
    <w:rsid w:val="008C1688"/>
    <w:pPr>
      <w:widowControl/>
      <w:adjustRightInd w:val="0"/>
      <w:snapToGrid w:val="0"/>
      <w:ind w:leftChars="59" w:left="118"/>
      <w:outlineLvl w:val="2"/>
    </w:pPr>
    <w:rPr>
      <w:rFonts w:ascii="Arial Unicode MS" w:hAnsi="Arial Unicode MS" w:cs="Arial Unicode MS"/>
      <w:bCs/>
      <w:color w:val="808000"/>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11">
    <w:name w:val="toc 1"/>
    <w:basedOn w:val="a"/>
    <w:next w:val="a"/>
    <w:autoRedefine/>
    <w:semiHidden/>
    <w:rsid w:val="0083757D"/>
    <w:rPr>
      <w:rFonts w:ascii="新細明體" w:hAnsi="新細明體"/>
      <w:color w:val="993300"/>
    </w:rPr>
  </w:style>
  <w:style w:type="character" w:customStyle="1" w:styleId="20">
    <w:name w:val="標題 2 字元"/>
    <w:link w:val="2"/>
    <w:uiPriority w:val="9"/>
    <w:rsid w:val="00F121F7"/>
    <w:rPr>
      <w:rFonts w:ascii="Arial Unicode MS" w:hAnsi="Arial Unicode MS" w:cs="Arial Unicode MS"/>
      <w:b/>
      <w:bCs/>
      <w:color w:val="990000"/>
      <w:kern w:val="2"/>
      <w:szCs w:val="48"/>
    </w:rPr>
  </w:style>
  <w:style w:type="paragraph" w:styleId="a8">
    <w:name w:val="Document Map"/>
    <w:basedOn w:val="a"/>
    <w:link w:val="a9"/>
    <w:rsid w:val="00E81351"/>
    <w:rPr>
      <w:rFonts w:ascii="新細明體" w:hAnsi="新細明體"/>
      <w:szCs w:val="18"/>
    </w:rPr>
  </w:style>
  <w:style w:type="character" w:customStyle="1" w:styleId="a9">
    <w:name w:val="文件引導模式 字元"/>
    <w:link w:val="a8"/>
    <w:rsid w:val="00E81351"/>
    <w:rPr>
      <w:rFonts w:ascii="新細明體" w:hAnsi="新細明體"/>
      <w:kern w:val="2"/>
      <w:szCs w:val="18"/>
    </w:rPr>
  </w:style>
  <w:style w:type="character" w:customStyle="1" w:styleId="30">
    <w:name w:val="標題 3 字元"/>
    <w:link w:val="3"/>
    <w:rsid w:val="008C1688"/>
    <w:rPr>
      <w:rFonts w:ascii="Arial Unicode MS" w:hAnsi="Arial Unicode MS" w:cs="Arial Unicode MS"/>
      <w:bCs/>
      <w:color w:val="808000"/>
      <w:kern w:val="2"/>
      <w:szCs w:val="27"/>
    </w:rPr>
  </w:style>
  <w:style w:type="paragraph" w:styleId="aa">
    <w:name w:val="Balloon Text"/>
    <w:basedOn w:val="a"/>
    <w:link w:val="ab"/>
    <w:rsid w:val="00AF2E81"/>
    <w:rPr>
      <w:rFonts w:asciiTheme="majorHAnsi" w:eastAsiaTheme="majorEastAsia" w:hAnsiTheme="majorHAnsi" w:cstheme="majorBidi"/>
      <w:sz w:val="18"/>
      <w:szCs w:val="18"/>
    </w:rPr>
  </w:style>
  <w:style w:type="character" w:customStyle="1" w:styleId="ab">
    <w:name w:val="註解方塊文字 字元"/>
    <w:basedOn w:val="a0"/>
    <w:link w:val="aa"/>
    <w:rsid w:val="00AF2E81"/>
    <w:rPr>
      <w:rFonts w:asciiTheme="majorHAnsi" w:eastAsiaTheme="majorEastAsia" w:hAnsiTheme="majorHAnsi" w:cstheme="majorBidi"/>
      <w:kern w:val="2"/>
      <w:sz w:val="18"/>
      <w:szCs w:val="18"/>
    </w:rPr>
  </w:style>
  <w:style w:type="character" w:customStyle="1" w:styleId="10">
    <w:name w:val="標題 1 字元"/>
    <w:basedOn w:val="a0"/>
    <w:link w:val="1"/>
    <w:uiPriority w:val="9"/>
    <w:rsid w:val="00237F62"/>
    <w:rPr>
      <w:rFonts w:ascii="Arial Unicode MS" w:hAnsi="Arial Unicode MS" w:cs="Arial Unicode MS"/>
      <w:b/>
      <w:bCs/>
      <w:color w:val="000080"/>
      <w:kern w:val="2"/>
      <w:szCs w:val="52"/>
    </w:rPr>
  </w:style>
  <w:style w:type="character" w:styleId="ac">
    <w:name w:val="Unresolved Mention"/>
    <w:basedOn w:val="a0"/>
    <w:uiPriority w:val="99"/>
    <w:semiHidden/>
    <w:unhideWhenUsed/>
    <w:rsid w:val="00BA44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7458">
      <w:bodyDiv w:val="1"/>
      <w:marLeft w:val="0"/>
      <w:marRight w:val="0"/>
      <w:marTop w:val="0"/>
      <w:marBottom w:val="0"/>
      <w:divBdr>
        <w:top w:val="none" w:sz="0" w:space="0" w:color="auto"/>
        <w:left w:val="none" w:sz="0" w:space="0" w:color="auto"/>
        <w:bottom w:val="none" w:sz="0" w:space="0" w:color="auto"/>
        <w:right w:val="none" w:sz="0" w:space="0" w:color="auto"/>
      </w:divBdr>
    </w:div>
    <w:div w:id="539823533">
      <w:bodyDiv w:val="1"/>
      <w:marLeft w:val="0"/>
      <w:marRight w:val="0"/>
      <w:marTop w:val="0"/>
      <w:marBottom w:val="0"/>
      <w:divBdr>
        <w:top w:val="none" w:sz="0" w:space="0" w:color="auto"/>
        <w:left w:val="none" w:sz="0" w:space="0" w:color="auto"/>
        <w:bottom w:val="none" w:sz="0" w:space="0" w:color="auto"/>
        <w:right w:val="none" w:sz="0" w:space="0" w:color="auto"/>
      </w:divBdr>
      <w:divsChild>
        <w:div w:id="1092043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931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S-link&#38651;&#23376;&#20845;&#27861;&#32317;&#32034;&#24341;.docx" TargetMode="External"/><Relationship Id="rId18" Type="http://schemas.openxmlformats.org/officeDocument/2006/relationships/hyperlink" Target="&#23569;&#24180;&#20107;&#20214;&#34389;&#29702;&#27861;.docx" TargetMode="External"/><Relationship Id="rId26" Type="http://schemas.openxmlformats.org/officeDocument/2006/relationships/hyperlink" Target="&#23569;&#24180;&#20107;&#20214;&#34389;&#29702;&#27861;.docx" TargetMode="External"/><Relationship Id="rId3" Type="http://schemas.openxmlformats.org/officeDocument/2006/relationships/settings" Target="settings.xml"/><Relationship Id="rId21" Type="http://schemas.openxmlformats.org/officeDocument/2006/relationships/hyperlink" Target="&#23569;&#24180;&#20107;&#20214;&#34389;&#29702;&#27861;.docx" TargetMode="External"/><Relationship Id="rId34" Type="http://schemas.openxmlformats.org/officeDocument/2006/relationships/fontTable" Target="fontTable.xml"/><Relationship Id="rId7" Type="http://schemas.openxmlformats.org/officeDocument/2006/relationships/hyperlink" Target="https://www.6laws.net/" TargetMode="External"/><Relationship Id="rId12" Type="http://schemas.openxmlformats.org/officeDocument/2006/relationships/hyperlink" Target="https://www.6laws.net/" TargetMode="External"/><Relationship Id="rId17" Type="http://schemas.openxmlformats.org/officeDocument/2006/relationships/hyperlink" Target="&#21009;&#20107;&#35380;&#35359;&#27861;.docx" TargetMode="External"/><Relationship Id="rId25" Type="http://schemas.openxmlformats.org/officeDocument/2006/relationships/hyperlink" Target="&#21009;&#20107;&#35380;&#35359;&#27861;.docx"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27861;&#38498;&#32068;&#32340;&#27861;.docx" TargetMode="External"/><Relationship Id="rId20" Type="http://schemas.openxmlformats.org/officeDocument/2006/relationships/hyperlink" Target="&#21009;&#20107;&#35380;&#35359;&#27861;.docx" TargetMode="External"/><Relationship Id="rId29" Type="http://schemas.openxmlformats.org/officeDocument/2006/relationships/hyperlink" Target="&#23478;&#20107;&#20107;&#20214;&#27861;.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6laws.net/" TargetMode="External"/><Relationship Id="rId24" Type="http://schemas.openxmlformats.org/officeDocument/2006/relationships/hyperlink" Target="&#21009;&#20107;&#35380;&#35359;&#27861;.docx"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20659;&#26579;&#30149;&#38450;&#27835;&#27861;.docx" TargetMode="External"/><Relationship Id="rId23" Type="http://schemas.openxmlformats.org/officeDocument/2006/relationships/hyperlink" Target="&#23569;&#24180;&#20107;&#20214;&#34389;&#29702;&#27861;.docx" TargetMode="External"/><Relationship Id="rId28" Type="http://schemas.openxmlformats.org/officeDocument/2006/relationships/hyperlink" Target="&#27665;&#20107;&#35380;&#35359;&#27861;.docx" TargetMode="External"/><Relationship Id="rId10" Type="http://schemas.openxmlformats.org/officeDocument/2006/relationships/hyperlink" Target="https://www.facebook.com/anita6law" TargetMode="External"/><Relationship Id="rId19" Type="http://schemas.openxmlformats.org/officeDocument/2006/relationships/hyperlink" Target="&#21009;&#20107;&#35380;&#35359;&#27861;.docx" TargetMode="External"/><Relationship Id="rId31" Type="http://schemas.openxmlformats.org/officeDocument/2006/relationships/hyperlink" Target="https://www.6laws.net/comment.htm" TargetMode="Externa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https://www.6laws.net/6law/law/&#20659;&#26579;&#30149;&#27969;&#34892;&#30123;&#24773;&#22196;&#37325;&#26399;&#38291;&#21496;&#27861;&#31243;&#24207;&#29305;&#21029;&#26781;&#20363;.htm" TargetMode="External"/><Relationship Id="rId22" Type="http://schemas.openxmlformats.org/officeDocument/2006/relationships/hyperlink" Target="&#21009;&#20107;&#35380;&#35359;&#27861;.docx" TargetMode="External"/><Relationship Id="rId27" Type="http://schemas.openxmlformats.org/officeDocument/2006/relationships/hyperlink" Target="&#21009;&#20107;&#35380;&#35359;&#27861;.docx" TargetMode="External"/><Relationship Id="rId30" Type="http://schemas.openxmlformats.org/officeDocument/2006/relationships/hyperlink" Target="../law3/&#34892;&#25919;&#35380;&#35359;&#25991;&#26360;&#20351;&#29992;&#38651;&#20449;&#20659;&#30495;&#25110;&#20854;&#20182;&#31185;&#25216;&#35373;&#20633;&#20316;&#26989;&#36774;&#27861;.docx"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3020</Words>
  <Characters>1571</Characters>
  <Application>Microsoft Office Word</Application>
  <DocSecurity>0</DocSecurity>
  <Lines>13</Lines>
  <Paragraphs>9</Paragraphs>
  <ScaleCrop>false</ScaleCrop>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傳染病流行疫情嚴重期間司法程序特別條例</dc:title>
  <dc:creator>S-link 電子六法-黃婉玲</dc:creator>
  <cp:lastModifiedBy>黃婉玲 S-link電子六法</cp:lastModifiedBy>
  <cp:revision>23</cp:revision>
  <dcterms:created xsi:type="dcterms:W3CDTF">2021-06-25T08:00:00Z</dcterms:created>
  <dcterms:modified xsi:type="dcterms:W3CDTF">2022-03-26T12:43:00Z</dcterms:modified>
</cp:coreProperties>
</file>