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0AD5" w14:textId="2F87A49F" w:rsidR="00373827" w:rsidRDefault="004F3A71" w:rsidP="0099154E">
      <w:pPr>
        <w:adjustRightInd w:val="0"/>
        <w:snapToGrid w:val="0"/>
        <w:ind w:rightChars="8" w:right="16"/>
        <w:jc w:val="right"/>
        <w:rPr>
          <w:rFonts w:ascii="Arial Unicode MS" w:hAnsi="Arial Unicode MS"/>
        </w:rPr>
      </w:pPr>
      <w:bookmarkStart w:id="0" w:name="_Hlk42133042"/>
      <w:r>
        <w:rPr>
          <w:rFonts w:ascii="Calibri" w:hAnsi="Calibri"/>
          <w:noProof/>
          <w:color w:val="5F5F5F"/>
          <w:sz w:val="18"/>
          <w:szCs w:val="20"/>
          <w:lang w:val="zh-TW"/>
        </w:rPr>
        <w:drawing>
          <wp:inline distT="0" distB="0" distL="0" distR="0" wp14:anchorId="7872E148" wp14:editId="5B37A5CA">
            <wp:extent cx="415925" cy="415925"/>
            <wp:effectExtent l="0" t="0" r="3175" b="3175"/>
            <wp:docPr id="3" name="圖片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bookmarkEnd w:id="0"/>
    </w:p>
    <w:p w14:paraId="7C893FCD" w14:textId="348CA9BB" w:rsidR="00373827" w:rsidRDefault="00373827" w:rsidP="0099154E">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C752FE" w:rsidRPr="00C752FE">
        <w:rPr>
          <w:sz w:val="18"/>
        </w:rPr>
        <w:t>2023/3/2</w:t>
      </w:r>
      <w:r w:rsidR="009A5B4E">
        <w:rPr>
          <w:sz w:val="18"/>
        </w:rPr>
        <w:t>0</w:t>
      </w:r>
      <w:r>
        <w:rPr>
          <w:rFonts w:hint="eastAsia"/>
          <w:color w:val="7F7F7F"/>
          <w:sz w:val="18"/>
          <w:szCs w:val="20"/>
          <w:lang w:val="zh-TW"/>
        </w:rPr>
        <w:t>【</w:t>
      </w:r>
      <w:hyperlink r:id="rId10" w:history="1">
        <w:r w:rsidRPr="00692A3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861A50B"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03B6A">
        <w:rPr>
          <w:rFonts w:hint="eastAsia"/>
          <w:color w:val="808000"/>
          <w:sz w:val="18"/>
          <w:szCs w:val="20"/>
        </w:rPr>
        <w:t>〉</w:t>
      </w:r>
      <w:r>
        <w:rPr>
          <w:rFonts w:hint="eastAsia"/>
          <w:color w:val="808000"/>
          <w:sz w:val="18"/>
          <w:szCs w:val="20"/>
        </w:rPr>
        <w:t>檢視</w:t>
      </w:r>
      <w:r>
        <w:rPr>
          <w:rFonts w:hint="eastAsia"/>
          <w:color w:val="808000"/>
          <w:sz w:val="18"/>
          <w:szCs w:val="20"/>
        </w:rPr>
        <w:t>--</w:t>
      </w:r>
      <w:r w:rsidR="00403B6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836"/>
        <w:gridCol w:w="6094"/>
        <w:gridCol w:w="3120"/>
      </w:tblGrid>
      <w:tr w:rsidR="00A6011A" w:rsidRPr="003555EC" w14:paraId="5490CB78" w14:textId="77777777" w:rsidTr="00484105">
        <w:trPr>
          <w:cantSplit/>
          <w:trHeight w:val="714"/>
          <w:tblCellSpacing w:w="0" w:type="dxa"/>
        </w:trPr>
        <w:tc>
          <w:tcPr>
            <w:tcW w:w="416" w:type="pct"/>
            <w:tcBorders>
              <w:top w:val="nil"/>
              <w:left w:val="nil"/>
              <w:bottom w:val="nil"/>
              <w:right w:val="nil"/>
            </w:tcBorders>
            <w:shd w:val="clear" w:color="auto" w:fill="CC3300"/>
            <w:vAlign w:val="center"/>
          </w:tcPr>
          <w:p w14:paraId="15055D5B" w14:textId="77777777" w:rsidR="00A6011A" w:rsidRPr="006E3BC0" w:rsidRDefault="00403B6A" w:rsidP="0099154E">
            <w:pPr>
              <w:ind w:leftChars="-6" w:left="-12"/>
              <w:jc w:val="center"/>
              <w:rPr>
                <w:rFonts w:ascii="Arial Unicode MS" w:hAnsi="Arial Unicode MS"/>
                <w:b/>
                <w:bCs/>
                <w:color w:val="FFFFFF"/>
                <w:szCs w:val="20"/>
              </w:rPr>
            </w:pPr>
            <w:r w:rsidRPr="00403B6A">
              <w:rPr>
                <w:rFonts w:ascii="Arial Unicode MS" w:hAnsi="Arial Unicode MS"/>
                <w:b/>
                <w:bCs/>
                <w:color w:val="FFFFFF"/>
                <w:sz w:val="18"/>
                <w:szCs w:val="20"/>
              </w:rPr>
              <w:t>法規名稱</w:t>
            </w:r>
          </w:p>
        </w:tc>
        <w:tc>
          <w:tcPr>
            <w:tcW w:w="3032" w:type="pct"/>
            <w:tcBorders>
              <w:top w:val="nil"/>
              <w:left w:val="nil"/>
              <w:bottom w:val="nil"/>
              <w:right w:val="nil"/>
            </w:tcBorders>
            <w:shd w:val="clear" w:color="auto" w:fill="FFFAE5"/>
            <w:vAlign w:val="center"/>
          </w:tcPr>
          <w:p w14:paraId="09DB350B" w14:textId="77777777" w:rsidR="00A6011A" w:rsidRPr="00703E61" w:rsidRDefault="003B7B2C" w:rsidP="00156B63">
            <w:pPr>
              <w:keepNext/>
              <w:adjustRightInd w:val="0"/>
              <w:snapToGrid w:val="0"/>
              <w:ind w:left="-11" w:right="-11"/>
              <w:jc w:val="center"/>
              <w:outlineLvl w:val="1"/>
              <w:rPr>
                <w:rFonts w:ascii="Arial Unicode MS" w:hAnsi="Arial Unicode MS"/>
                <w:b/>
                <w:bCs/>
                <w:color w:val="000000"/>
                <w:sz w:val="28"/>
                <w:szCs w:val="28"/>
              </w:rPr>
            </w:pPr>
            <w:r w:rsidRPr="000A3A4A">
              <w:rPr>
                <w:rFonts w:ascii="新細明體" w:eastAsia="標楷體" w:hAnsi="新細明體" w:hint="eastAsia"/>
                <w:bCs/>
                <w:sz w:val="26"/>
                <w:szCs w:val="26"/>
                <w14:shadow w14:blurRad="50800" w14:dist="38100" w14:dir="2700000" w14:sx="100000" w14:sy="100000" w14:kx="0" w14:ky="0" w14:algn="tl">
                  <w14:srgbClr w14:val="000000">
                    <w14:alpha w14:val="60000"/>
                  </w14:srgbClr>
                </w14:shadow>
              </w:rPr>
              <w:t>公職人員年資併社團專職人員年資計發退離給與處理條例</w:t>
            </w:r>
          </w:p>
        </w:tc>
        <w:tc>
          <w:tcPr>
            <w:tcW w:w="1552" w:type="pct"/>
            <w:tcBorders>
              <w:top w:val="nil"/>
              <w:left w:val="nil"/>
              <w:bottom w:val="nil"/>
              <w:right w:val="nil"/>
            </w:tcBorders>
            <w:shd w:val="clear" w:color="auto" w:fill="FFFAE5"/>
            <w:vAlign w:val="center"/>
          </w:tcPr>
          <w:p w14:paraId="398E9753" w14:textId="77777777"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E965AA" w:rsidRPr="00E965AA">
              <w:rPr>
                <w:rFonts w:ascii="Arial Unicode MS" w:hAnsi="Arial Unicode MS" w:hint="eastAsia"/>
                <w:color w:val="990000"/>
              </w:rPr>
              <w:t>民國</w:t>
            </w:r>
            <w:r w:rsidR="00E965AA" w:rsidRPr="00E965AA">
              <w:rPr>
                <w:rFonts w:ascii="Arial Unicode MS" w:hAnsi="Arial Unicode MS" w:hint="eastAsia"/>
                <w:color w:val="990000"/>
              </w:rPr>
              <w:t>106</w:t>
            </w:r>
            <w:r w:rsidR="00E965AA" w:rsidRPr="00E965AA">
              <w:rPr>
                <w:rFonts w:ascii="Arial Unicode MS" w:hAnsi="Arial Unicode MS" w:hint="eastAsia"/>
                <w:color w:val="990000"/>
              </w:rPr>
              <w:t>年</w:t>
            </w:r>
            <w:r w:rsidR="00E965AA" w:rsidRPr="00E965AA">
              <w:rPr>
                <w:rFonts w:ascii="Arial Unicode MS" w:hAnsi="Arial Unicode MS" w:hint="eastAsia"/>
                <w:color w:val="990000"/>
              </w:rPr>
              <w:t>4</w:t>
            </w:r>
            <w:r w:rsidR="00E965AA" w:rsidRPr="00E965AA">
              <w:rPr>
                <w:rFonts w:ascii="Arial Unicode MS" w:hAnsi="Arial Unicode MS" w:hint="eastAsia"/>
                <w:color w:val="990000"/>
              </w:rPr>
              <w:t>月</w:t>
            </w:r>
            <w:r w:rsidR="00E965AA" w:rsidRPr="00E965AA">
              <w:rPr>
                <w:rFonts w:ascii="Arial Unicode MS" w:hAnsi="Arial Unicode MS" w:hint="eastAsia"/>
                <w:color w:val="990000"/>
              </w:rPr>
              <w:t>25</w:t>
            </w:r>
            <w:r w:rsidR="00E965AA" w:rsidRPr="00E965AA">
              <w:rPr>
                <w:rFonts w:ascii="Arial Unicode MS" w:hAnsi="Arial Unicode MS" w:hint="eastAsia"/>
                <w:color w:val="990000"/>
              </w:rPr>
              <w:t>日</w:t>
            </w:r>
          </w:p>
          <w:p w14:paraId="2E502B10" w14:textId="77777777" w:rsidR="00A6011A" w:rsidRPr="003555EC" w:rsidRDefault="00E3177E" w:rsidP="00E3177E">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00E965AA" w:rsidRPr="00E965AA">
              <w:rPr>
                <w:rFonts w:ascii="Arial Unicode MS" w:hAnsi="Arial Unicode MS" w:hint="eastAsia"/>
                <w:color w:val="990000"/>
              </w:rPr>
              <w:t>民國</w:t>
            </w:r>
            <w:r w:rsidR="00E965AA" w:rsidRPr="00E965AA">
              <w:rPr>
                <w:rFonts w:ascii="Arial Unicode MS" w:hAnsi="Arial Unicode MS" w:hint="eastAsia"/>
                <w:color w:val="990000"/>
              </w:rPr>
              <w:t>106</w:t>
            </w:r>
            <w:r w:rsidR="00E965AA" w:rsidRPr="00E965AA">
              <w:rPr>
                <w:rFonts w:ascii="Arial Unicode MS" w:hAnsi="Arial Unicode MS" w:hint="eastAsia"/>
                <w:color w:val="990000"/>
              </w:rPr>
              <w:t>年</w:t>
            </w:r>
            <w:r w:rsidR="00E965AA" w:rsidRPr="00E965AA">
              <w:rPr>
                <w:rFonts w:ascii="Arial Unicode MS" w:hAnsi="Arial Unicode MS" w:hint="eastAsia"/>
                <w:color w:val="990000"/>
              </w:rPr>
              <w:t>5</w:t>
            </w:r>
            <w:r w:rsidR="00E965AA" w:rsidRPr="00E965AA">
              <w:rPr>
                <w:rFonts w:ascii="Arial Unicode MS" w:hAnsi="Arial Unicode MS" w:hint="eastAsia"/>
                <w:color w:val="990000"/>
              </w:rPr>
              <w:t>月</w:t>
            </w:r>
            <w:r w:rsidR="00E965AA" w:rsidRPr="00E965AA">
              <w:rPr>
                <w:rFonts w:ascii="Arial Unicode MS" w:hAnsi="Arial Unicode MS" w:hint="eastAsia"/>
                <w:color w:val="990000"/>
              </w:rPr>
              <w:t>10</w:t>
            </w:r>
            <w:r w:rsidR="00E965AA" w:rsidRPr="00E965AA">
              <w:rPr>
                <w:rFonts w:ascii="Arial Unicode MS" w:hAnsi="Arial Unicode MS" w:hint="eastAsia"/>
                <w:color w:val="990000"/>
              </w:rPr>
              <w:t>日</w:t>
            </w:r>
          </w:p>
        </w:tc>
      </w:tr>
    </w:tbl>
    <w:p w14:paraId="51DA9F72" w14:textId="77777777"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公職人員年資併社團專職人員年資計發退離給與處理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403B6A">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403B6A">
        <w:rPr>
          <w:rFonts w:ascii="Arial Unicode MS" w:hAnsi="Arial Unicode MS" w:hint="eastAsia"/>
          <w:b/>
          <w:color w:val="5F5F5F"/>
          <w:sz w:val="18"/>
          <w:szCs w:val="20"/>
        </w:rPr>
        <w:t>〉〉</w:t>
      </w:r>
    </w:p>
    <w:p w14:paraId="4B23C4FC"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648D8F4" w14:textId="77777777" w:rsidR="00A6011A" w:rsidRPr="00E623BE" w:rsidRDefault="00F43973" w:rsidP="0099154E">
      <w:pPr>
        <w:ind w:leftChars="75" w:left="150"/>
        <w:jc w:val="both"/>
        <w:rPr>
          <w:rFonts w:ascii="Arial Unicode MS" w:hAnsi="Arial Unicode MS"/>
          <w:b/>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7C6BC7" w:rsidRPr="007C6BC7">
        <w:rPr>
          <w:rFonts w:ascii="Arial Unicode MS" w:hAnsi="Arial Unicode MS" w:hint="eastAsia"/>
          <w:bCs/>
          <w:color w:val="666699"/>
          <w:sz w:val="18"/>
        </w:rPr>
        <w:t>中華民國一百零六年五月十日總統華總一義字第</w:t>
      </w:r>
      <w:r w:rsidR="007C6BC7" w:rsidRPr="007C6BC7">
        <w:rPr>
          <w:rFonts w:ascii="Arial Unicode MS" w:hAnsi="Arial Unicode MS" w:hint="eastAsia"/>
          <w:bCs/>
          <w:color w:val="666699"/>
          <w:sz w:val="18"/>
        </w:rPr>
        <w:t>10600056391</w:t>
      </w:r>
      <w:r w:rsidR="007C6BC7" w:rsidRPr="007C6BC7">
        <w:rPr>
          <w:rFonts w:ascii="Arial Unicode MS" w:hAnsi="Arial Unicode MS" w:hint="eastAsia"/>
          <w:bCs/>
          <w:color w:val="666699"/>
          <w:sz w:val="18"/>
        </w:rPr>
        <w:t>號令制定公布全文</w:t>
      </w:r>
      <w:r w:rsidR="007C6BC7" w:rsidRPr="007C6BC7">
        <w:rPr>
          <w:rFonts w:ascii="Arial Unicode MS" w:hAnsi="Arial Unicode MS" w:hint="eastAsia"/>
          <w:bCs/>
          <w:color w:val="666699"/>
          <w:sz w:val="18"/>
        </w:rPr>
        <w:t>9</w:t>
      </w:r>
      <w:r w:rsidR="007C6BC7" w:rsidRPr="007C6BC7">
        <w:rPr>
          <w:rFonts w:ascii="Arial Unicode MS" w:hAnsi="Arial Unicode MS" w:hint="eastAsia"/>
          <w:bCs/>
          <w:color w:val="666699"/>
          <w:sz w:val="18"/>
        </w:rPr>
        <w:t>條；並自公布日施行</w:t>
      </w:r>
    </w:p>
    <w:p w14:paraId="23B7E794" w14:textId="77777777" w:rsidR="00845988" w:rsidRPr="003555EC" w:rsidRDefault="00845988" w:rsidP="0099154E">
      <w:pPr>
        <w:ind w:leftChars="75" w:left="150"/>
        <w:jc w:val="both"/>
        <w:rPr>
          <w:rFonts w:ascii="Arial Unicode MS" w:hAnsi="Arial Unicode MS"/>
          <w:b/>
          <w:bCs/>
          <w:color w:val="800000"/>
        </w:rPr>
      </w:pPr>
    </w:p>
    <w:p w14:paraId="613BD18F" w14:textId="30C7E536" w:rsidR="00A6011A" w:rsidRPr="00AF2E81" w:rsidRDefault="004A4913" w:rsidP="00AF2E81">
      <w:pPr>
        <w:pStyle w:val="1"/>
        <w:rPr>
          <w:color w:val="990000"/>
        </w:rPr>
      </w:pPr>
      <w:r>
        <w:rPr>
          <w:color w:val="990000"/>
        </w:rPr>
        <w:t>【法規內容】</w:t>
      </w:r>
    </w:p>
    <w:p w14:paraId="535207F4" w14:textId="77777777" w:rsidR="004A4913" w:rsidRDefault="003B7B2C" w:rsidP="00E965AA">
      <w:pPr>
        <w:pStyle w:val="2"/>
      </w:pPr>
      <w:bookmarkStart w:id="2" w:name="a1"/>
      <w:bookmarkEnd w:id="2"/>
      <w:r>
        <w:t>第</w:t>
      </w:r>
      <w:r>
        <w:t>1</w:t>
      </w:r>
      <w:r>
        <w:t>條（立法目的</w:t>
      </w:r>
      <w:r w:rsidR="004A4913">
        <w:t>）</w:t>
      </w:r>
    </w:p>
    <w:p w14:paraId="015B0DCB" w14:textId="57BCE645"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為處理公職人員年資併社團專職人員年資後溢領之退離給與，特制定本條例。</w:t>
      </w:r>
    </w:p>
    <w:p w14:paraId="3647DCF3" w14:textId="77777777" w:rsidR="004A4913" w:rsidRDefault="003B7B2C" w:rsidP="00E965AA">
      <w:pPr>
        <w:pStyle w:val="2"/>
      </w:pPr>
      <w:bookmarkStart w:id="3" w:name="a2"/>
      <w:bookmarkEnd w:id="3"/>
      <w:r>
        <w:t>第</w:t>
      </w:r>
      <w:r>
        <w:t>2</w:t>
      </w:r>
      <w:r>
        <w:t>條（用詞定義</w:t>
      </w:r>
      <w:r w:rsidR="004A4913">
        <w:t>）</w:t>
      </w:r>
    </w:p>
    <w:p w14:paraId="5EAEBA83" w14:textId="55A429EB"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本條例用詞，定義如下：</w:t>
      </w:r>
    </w:p>
    <w:p w14:paraId="7687215F" w14:textId="77777777" w:rsidR="004A4913" w:rsidRDefault="003B7B2C" w:rsidP="00E965AA">
      <w:pPr>
        <w:ind w:left="142"/>
        <w:rPr>
          <w:color w:val="17365D"/>
        </w:rPr>
      </w:pPr>
      <w:r>
        <w:rPr>
          <w:color w:val="17365D"/>
        </w:rPr>
        <w:t xml:space="preserve">　　一、公職人員：指公務、政務、軍職、教育、公營事業及民選首長等人員，於退休（職、伍）時，採認本條例所定社團專職人員年資併計核發退離給與者</w:t>
      </w:r>
      <w:r w:rsidR="004A4913">
        <w:rPr>
          <w:color w:val="17365D"/>
        </w:rPr>
        <w:t>。</w:t>
      </w:r>
    </w:p>
    <w:p w14:paraId="195B5D16" w14:textId="6AF4B36C" w:rsidR="004A4913" w:rsidRDefault="004A4913" w:rsidP="00E965AA">
      <w:pPr>
        <w:ind w:left="142"/>
        <w:rPr>
          <w:color w:val="17365D"/>
        </w:rPr>
      </w:pPr>
      <w:r>
        <w:rPr>
          <w:color w:val="17365D"/>
        </w:rPr>
        <w:t xml:space="preserve">　　二、</w:t>
      </w:r>
      <w:r w:rsidR="003B7B2C">
        <w:rPr>
          <w:color w:val="17365D"/>
        </w:rPr>
        <w:t>社團專職人員：指中國國民黨各級黨部、中華民國民眾服務總社及其分社、中國青年反共救國團、中國童子軍總會、中國大陸災胞救濟總會、世界反共聯盟中國分會、亞洲人民反共聯盟中國總會、三民主義大同盟等社團及其相關機構之專職人員</w:t>
      </w:r>
      <w:r>
        <w:rPr>
          <w:color w:val="17365D"/>
        </w:rPr>
        <w:t>。</w:t>
      </w:r>
    </w:p>
    <w:p w14:paraId="4571F42F" w14:textId="2117F20E" w:rsidR="003B7B2C" w:rsidRDefault="004A4913" w:rsidP="00E965AA">
      <w:pPr>
        <w:ind w:left="142"/>
        <w:rPr>
          <w:color w:val="17365D"/>
        </w:rPr>
      </w:pPr>
      <w:r>
        <w:rPr>
          <w:color w:val="17365D"/>
        </w:rPr>
        <w:t xml:space="preserve">　　三、</w:t>
      </w:r>
      <w:r w:rsidR="003B7B2C">
        <w:rPr>
          <w:color w:val="17365D"/>
        </w:rPr>
        <w:t>退離給與：指退休（職、伍）金及優惠存款利息。</w:t>
      </w:r>
    </w:p>
    <w:p w14:paraId="7AD1C20C" w14:textId="5398C19C" w:rsidR="00944D56" w:rsidRDefault="00944D56" w:rsidP="00E965AA">
      <w:pPr>
        <w:ind w:left="142"/>
        <w:rPr>
          <w:rFonts w:hint="eastAsia"/>
          <w:color w:val="17365D"/>
        </w:rPr>
      </w:pPr>
      <w:bookmarkStart w:id="4" w:name="_Hlk136096266"/>
      <w:r w:rsidRPr="00CC0370">
        <w:rPr>
          <w:rFonts w:ascii="Arial Unicode MS" w:hAnsi="Arial Unicode MS" w:hint="eastAsia"/>
          <w:color w:val="5F5F5F"/>
          <w:sz w:val="18"/>
        </w:rPr>
        <w:t>【憲法判決】</w:t>
      </w:r>
      <w:hyperlink r:id="rId16" w:anchor="w112c03" w:history="1">
        <w:r>
          <w:rPr>
            <w:rStyle w:val="a3"/>
            <w:rFonts w:ascii="Arial Unicode MS" w:hAnsi="Arial Unicode MS"/>
            <w:color w:val="5F5F5F"/>
            <w:sz w:val="18"/>
          </w:rPr>
          <w:t>112</w:t>
        </w:r>
        <w:r>
          <w:rPr>
            <w:rStyle w:val="a3"/>
            <w:rFonts w:ascii="Arial Unicode MS" w:hAnsi="Arial Unicode MS"/>
            <w:color w:val="5F5F5F"/>
            <w:sz w:val="18"/>
          </w:rPr>
          <w:t>年憲判</w:t>
        </w:r>
        <w:r>
          <w:rPr>
            <w:rStyle w:val="a3"/>
            <w:rFonts w:ascii="Arial Unicode MS" w:hAnsi="Arial Unicode MS"/>
            <w:color w:val="5F5F5F"/>
            <w:sz w:val="18"/>
          </w:rPr>
          <w:t>字</w:t>
        </w:r>
        <w:r>
          <w:rPr>
            <w:rStyle w:val="a3"/>
            <w:rFonts w:ascii="Arial Unicode MS" w:hAnsi="Arial Unicode MS"/>
            <w:color w:val="5F5F5F"/>
            <w:sz w:val="18"/>
          </w:rPr>
          <w:t>第</w:t>
        </w:r>
        <w:r>
          <w:rPr>
            <w:rStyle w:val="a3"/>
            <w:rFonts w:ascii="Arial Unicode MS" w:hAnsi="Arial Unicode MS"/>
            <w:color w:val="5F5F5F"/>
            <w:sz w:val="18"/>
          </w:rPr>
          <w:t>3</w:t>
        </w:r>
        <w:r>
          <w:rPr>
            <w:rStyle w:val="a3"/>
            <w:rFonts w:ascii="Arial Unicode MS" w:hAnsi="Arial Unicode MS"/>
            <w:color w:val="5F5F5F"/>
            <w:sz w:val="18"/>
          </w:rPr>
          <w:t>號</w:t>
        </w:r>
      </w:hyperlink>
      <w:bookmarkEnd w:id="4"/>
    </w:p>
    <w:p w14:paraId="4DD22EF2" w14:textId="77777777" w:rsidR="004A4913" w:rsidRDefault="003B7B2C" w:rsidP="00E965AA">
      <w:pPr>
        <w:pStyle w:val="2"/>
      </w:pPr>
      <w:bookmarkStart w:id="5" w:name="a3"/>
      <w:bookmarkEnd w:id="5"/>
      <w:r>
        <w:t>第</w:t>
      </w:r>
      <w:r>
        <w:t>3</w:t>
      </w:r>
      <w:r>
        <w:t>條（主管機關</w:t>
      </w:r>
      <w:r w:rsidR="004A4913">
        <w:t>）</w:t>
      </w:r>
    </w:p>
    <w:p w14:paraId="19CCDFF3" w14:textId="289E603C"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本條例之法制主管機關為</w:t>
      </w:r>
      <w:hyperlink r:id="rId17" w:tgtFrame="_blank" w:history="1">
        <w:r w:rsidR="00403B6A" w:rsidRPr="00403B6A">
          <w:rPr>
            <w:rStyle w:val="a3"/>
            <w:szCs w:val="26"/>
          </w:rPr>
          <w:t>銓敘部</w:t>
        </w:r>
      </w:hyperlink>
      <w:r w:rsidR="003B7B2C">
        <w:rPr>
          <w:color w:val="17365D"/>
        </w:rPr>
        <w:t>；執行主管機關為前條所定公職人員適用之各該退休（職、伍）法令之中央或地方主管機關。</w:t>
      </w:r>
    </w:p>
    <w:p w14:paraId="0B9E8575" w14:textId="77777777" w:rsidR="004A4913" w:rsidRDefault="003B7B2C" w:rsidP="00E965AA">
      <w:pPr>
        <w:pStyle w:val="2"/>
      </w:pPr>
      <w:bookmarkStart w:id="6" w:name="a4"/>
      <w:bookmarkEnd w:id="6"/>
      <w:r>
        <w:t>第</w:t>
      </w:r>
      <w:r>
        <w:t>4</w:t>
      </w:r>
      <w:r>
        <w:t>條（重行核計退離給與之範圍與標準</w:t>
      </w:r>
      <w:r w:rsidR="004A4913">
        <w:t>）</w:t>
      </w:r>
    </w:p>
    <w:p w14:paraId="08C90D5B" w14:textId="1E9CD7E5" w:rsidR="004A4913"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hyperlink w:anchor="a2" w:history="1">
        <w:r w:rsidR="003B7B2C" w:rsidRPr="00F12410">
          <w:rPr>
            <w:rStyle w:val="a3"/>
            <w:rFonts w:ascii="Times New Roman" w:hAnsi="Times New Roman"/>
          </w:rPr>
          <w:t>第二條</w:t>
        </w:r>
      </w:hyperlink>
      <w:r w:rsidR="003B7B2C">
        <w:rPr>
          <w:color w:val="17365D"/>
        </w:rPr>
        <w:t>所定公職人員仍支領退離給與者，應由其核發退離給與機關（以下簡稱核發機關）扣除已採計之社團專職人員年資後，依原適用之退休（職、伍）法令所定給與標準及支領方式，重行核計退離給與</w:t>
      </w:r>
      <w:r>
        <w:rPr>
          <w:color w:val="17365D"/>
        </w:rPr>
        <w:t>。</w:t>
      </w:r>
    </w:p>
    <w:p w14:paraId="1665E0AE" w14:textId="322E7ABE" w:rsidR="004A4913" w:rsidRDefault="004A4913" w:rsidP="00E965AA">
      <w:pPr>
        <w:ind w:left="142"/>
        <w:rPr>
          <w:color w:val="17365D"/>
        </w:rPr>
      </w:pPr>
      <w:r w:rsidRPr="004A4913">
        <w:rPr>
          <w:color w:val="404040" w:themeColor="text1" w:themeTint="BF"/>
          <w:sz w:val="18"/>
        </w:rPr>
        <w:t>﹝</w:t>
      </w:r>
      <w:r w:rsidRPr="004A4913">
        <w:rPr>
          <w:color w:val="404040" w:themeColor="text1" w:themeTint="BF"/>
          <w:sz w:val="18"/>
        </w:rPr>
        <w:t>2</w:t>
      </w:r>
      <w:r w:rsidRPr="004A4913">
        <w:rPr>
          <w:color w:val="404040" w:themeColor="text1" w:themeTint="BF"/>
          <w:sz w:val="18"/>
        </w:rPr>
        <w:t>﹞</w:t>
      </w:r>
      <w:r w:rsidRPr="00E965AA">
        <w:rPr>
          <w:color w:val="666699"/>
        </w:rPr>
        <w:t>依前項規定扣除社團專職人員年資後，不符原退休（職、伍）或定期給付條件者，仍依原適用之退休（職、伍）法令所定給與標準及支領方式，按扣除社團專職人員年資後之年資，重行核計退離給與</w:t>
      </w:r>
      <w:r>
        <w:rPr>
          <w:color w:val="17365D"/>
        </w:rPr>
        <w:t>。</w:t>
      </w:r>
    </w:p>
    <w:p w14:paraId="01CBDF8F" w14:textId="57851F9D" w:rsidR="004A4913" w:rsidRDefault="004A4913" w:rsidP="00E965AA">
      <w:pPr>
        <w:ind w:left="142"/>
        <w:rPr>
          <w:color w:val="17365D"/>
        </w:rPr>
      </w:pPr>
      <w:r w:rsidRPr="004A4913">
        <w:rPr>
          <w:color w:val="404040" w:themeColor="text1" w:themeTint="BF"/>
          <w:sz w:val="18"/>
        </w:rPr>
        <w:t>﹝</w:t>
      </w:r>
      <w:r w:rsidRPr="004A4913">
        <w:rPr>
          <w:color w:val="404040" w:themeColor="text1" w:themeTint="BF"/>
          <w:sz w:val="18"/>
        </w:rPr>
        <w:t>3</w:t>
      </w:r>
      <w:r w:rsidRPr="004A4913">
        <w:rPr>
          <w:color w:val="404040" w:themeColor="text1" w:themeTint="BF"/>
          <w:sz w:val="18"/>
        </w:rPr>
        <w:t>﹞</w:t>
      </w:r>
      <w:r>
        <w:rPr>
          <w:color w:val="17365D"/>
        </w:rPr>
        <w:t>依前二項規定重行核計退離給與，致每月支領退離給與總額低於新臺幣二萬五千元者，按二萬五千元發給。原每月支領退離給與總額低於二萬五千元者，仍按原支領退離給與總額發給。</w:t>
      </w:r>
    </w:p>
    <w:p w14:paraId="24B3D3EB" w14:textId="019CD10E" w:rsidR="003B7B2C" w:rsidRPr="00E965AA" w:rsidRDefault="004A4913" w:rsidP="00E965AA">
      <w:pPr>
        <w:ind w:left="142"/>
        <w:rPr>
          <w:color w:val="666699"/>
        </w:rPr>
      </w:pPr>
      <w:r w:rsidRPr="004A4913">
        <w:rPr>
          <w:color w:val="404040" w:themeColor="text1" w:themeTint="BF"/>
          <w:sz w:val="18"/>
        </w:rPr>
        <w:t>﹝</w:t>
      </w:r>
      <w:r w:rsidRPr="004A4913">
        <w:rPr>
          <w:color w:val="404040" w:themeColor="text1" w:themeTint="BF"/>
          <w:sz w:val="18"/>
        </w:rPr>
        <w:t>4</w:t>
      </w:r>
      <w:r w:rsidRPr="004A4913">
        <w:rPr>
          <w:color w:val="404040" w:themeColor="text1" w:themeTint="BF"/>
          <w:sz w:val="18"/>
        </w:rPr>
        <w:t>﹞</w:t>
      </w:r>
      <w:hyperlink w:anchor="a2" w:history="1">
        <w:r w:rsidR="00F12410" w:rsidRPr="00F12410">
          <w:rPr>
            <w:rStyle w:val="a3"/>
            <w:rFonts w:ascii="Times New Roman" w:hAnsi="Times New Roman"/>
          </w:rPr>
          <w:t>第二條</w:t>
        </w:r>
      </w:hyperlink>
      <w:r w:rsidR="003B7B2C" w:rsidRPr="00E965AA">
        <w:rPr>
          <w:color w:val="666699"/>
        </w:rPr>
        <w:t>所定公職人員依本條規定重行核計之退離給與，自本條例施行日起一年後，按重行核計之退離給與發給。</w:t>
      </w:r>
    </w:p>
    <w:p w14:paraId="0A6A5522" w14:textId="77777777" w:rsidR="004A4913" w:rsidRDefault="003B7B2C" w:rsidP="00E965AA">
      <w:pPr>
        <w:pStyle w:val="2"/>
      </w:pPr>
      <w:bookmarkStart w:id="7" w:name="a5"/>
      <w:bookmarkEnd w:id="7"/>
      <w:r>
        <w:t>第</w:t>
      </w:r>
      <w:r>
        <w:t>5</w:t>
      </w:r>
      <w:r>
        <w:t>條（返還溢領退離給與</w:t>
      </w:r>
      <w:r w:rsidR="004A4913">
        <w:t>）</w:t>
      </w:r>
    </w:p>
    <w:p w14:paraId="1DAFD0D0" w14:textId="1AD8BF42"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依前條規定重行核計退離給與後，有溢領退離給與者，應由核發機關自本條例施行後一年內，依下列規定以書面處分令領受人或其經採認之社團專職年資所屬社團返還之：</w:t>
      </w:r>
    </w:p>
    <w:p w14:paraId="11D19AFF" w14:textId="77777777" w:rsidR="004A4913" w:rsidRDefault="003B7B2C" w:rsidP="00E965AA">
      <w:pPr>
        <w:ind w:left="142"/>
        <w:rPr>
          <w:color w:val="17365D"/>
        </w:rPr>
      </w:pPr>
      <w:r>
        <w:rPr>
          <w:color w:val="17365D"/>
        </w:rPr>
        <w:t xml:space="preserve">　　一、於退職政務人員，由領受人及其經採認之社團專職年資所屬社團連帶返還</w:t>
      </w:r>
      <w:r w:rsidR="004A4913">
        <w:rPr>
          <w:color w:val="17365D"/>
        </w:rPr>
        <w:t>。</w:t>
      </w:r>
    </w:p>
    <w:p w14:paraId="782F6B93" w14:textId="55B26828" w:rsidR="004A4913" w:rsidRDefault="004A4913" w:rsidP="00E965AA">
      <w:pPr>
        <w:ind w:left="142"/>
        <w:rPr>
          <w:color w:val="17365D"/>
        </w:rPr>
      </w:pPr>
      <w:r>
        <w:rPr>
          <w:color w:val="17365D"/>
        </w:rPr>
        <w:lastRenderedPageBreak/>
        <w:t xml:space="preserve">　　二、</w:t>
      </w:r>
      <w:r w:rsidR="003B7B2C">
        <w:rPr>
          <w:color w:val="17365D"/>
        </w:rPr>
        <w:t>於政務人員以外之退休（職、伍）公職人員，由其經採認之社團專職年資所屬社團返還</w:t>
      </w:r>
      <w:r>
        <w:rPr>
          <w:color w:val="17365D"/>
        </w:rPr>
        <w:t>。</w:t>
      </w:r>
    </w:p>
    <w:p w14:paraId="53487881" w14:textId="65FC90AD" w:rsidR="003B7B2C" w:rsidRPr="00E965AA" w:rsidRDefault="004A4913" w:rsidP="00E965AA">
      <w:pPr>
        <w:ind w:left="142"/>
        <w:rPr>
          <w:color w:val="666699"/>
        </w:rPr>
      </w:pPr>
      <w:r w:rsidRPr="004A4913">
        <w:rPr>
          <w:color w:val="404040" w:themeColor="text1" w:themeTint="BF"/>
          <w:sz w:val="18"/>
        </w:rPr>
        <w:t>﹝</w:t>
      </w:r>
      <w:r w:rsidRPr="004A4913">
        <w:rPr>
          <w:color w:val="404040" w:themeColor="text1" w:themeTint="BF"/>
          <w:sz w:val="18"/>
        </w:rPr>
        <w:t>2</w:t>
      </w:r>
      <w:r w:rsidRPr="004A4913">
        <w:rPr>
          <w:color w:val="404040" w:themeColor="text1" w:themeTint="BF"/>
          <w:sz w:val="18"/>
        </w:rPr>
        <w:t>﹞</w:t>
      </w:r>
      <w:r w:rsidR="003B7B2C" w:rsidRPr="00E965AA">
        <w:rPr>
          <w:color w:val="666699"/>
        </w:rPr>
        <w:t>前項規定返還溢領退離給與時，由核發機關依各公職人員所適用之退離給與追繳規定，進行追繳。</w:t>
      </w:r>
    </w:p>
    <w:p w14:paraId="586C1F39" w14:textId="77777777" w:rsidR="004A4913" w:rsidRDefault="003B7B2C" w:rsidP="00E965AA">
      <w:pPr>
        <w:pStyle w:val="2"/>
      </w:pPr>
      <w:bookmarkStart w:id="8" w:name="a6"/>
      <w:bookmarkEnd w:id="8"/>
      <w:r>
        <w:t>第</w:t>
      </w:r>
      <w:r>
        <w:t>6</w:t>
      </w:r>
      <w:r>
        <w:t>條（遺族領取撫慰金應按重行核計退離給與標準計給</w:t>
      </w:r>
      <w:r w:rsidR="004A4913">
        <w:t>）</w:t>
      </w:r>
    </w:p>
    <w:p w14:paraId="29B1D2FC" w14:textId="334F6ED6"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退休（職、伍）公職人員依</w:t>
      </w:r>
      <w:hyperlink w:anchor="a4" w:history="1">
        <w:r w:rsidR="003B7B2C" w:rsidRPr="00F12410">
          <w:rPr>
            <w:rStyle w:val="a3"/>
            <w:rFonts w:ascii="Times New Roman" w:hAnsi="Times New Roman"/>
          </w:rPr>
          <w:t>第四條</w:t>
        </w:r>
      </w:hyperlink>
      <w:r w:rsidR="003B7B2C">
        <w:rPr>
          <w:color w:val="17365D"/>
        </w:rPr>
        <w:t>規定重行核計退離給與後，其遺族依法領取之撫慰金，應按退休（職、伍）公職人員重行核計之退離給與標準計給。</w:t>
      </w:r>
    </w:p>
    <w:p w14:paraId="6A975C33" w14:textId="77777777" w:rsidR="004A4913" w:rsidRDefault="003B7B2C" w:rsidP="00E965AA">
      <w:pPr>
        <w:pStyle w:val="2"/>
      </w:pPr>
      <w:bookmarkStart w:id="9" w:name="a7"/>
      <w:bookmarkEnd w:id="9"/>
      <w:r>
        <w:t>第</w:t>
      </w:r>
      <w:r>
        <w:t>7</w:t>
      </w:r>
      <w:r>
        <w:t>條（不適用現行法律有關權利行使期間之規定</w:t>
      </w:r>
      <w:r w:rsidR="004A4913">
        <w:t>）</w:t>
      </w:r>
    </w:p>
    <w:p w14:paraId="321B76A6" w14:textId="21240E42"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本條例</w:t>
      </w:r>
      <w:hyperlink w:anchor="a4" w:history="1">
        <w:r w:rsidR="00F12410" w:rsidRPr="00F12410">
          <w:rPr>
            <w:rStyle w:val="a3"/>
            <w:rFonts w:ascii="Times New Roman" w:hAnsi="Times New Roman"/>
          </w:rPr>
          <w:t>第四條</w:t>
        </w:r>
      </w:hyperlink>
      <w:r w:rsidR="003B7B2C">
        <w:rPr>
          <w:color w:val="17365D"/>
        </w:rPr>
        <w:t>所定重行核計退離給與及</w:t>
      </w:r>
      <w:hyperlink w:anchor="a5" w:history="1">
        <w:r w:rsidR="003B7B2C" w:rsidRPr="00F12410">
          <w:rPr>
            <w:rStyle w:val="a3"/>
            <w:rFonts w:ascii="Times New Roman" w:hAnsi="Times New Roman"/>
          </w:rPr>
          <w:t>第五條</w:t>
        </w:r>
      </w:hyperlink>
      <w:r w:rsidR="003B7B2C">
        <w:rPr>
          <w:color w:val="17365D"/>
        </w:rPr>
        <w:t>所定返還規定，除本條例另有規定外，不適用現行法律有關權利行使期間之規定。</w:t>
      </w:r>
    </w:p>
    <w:p w14:paraId="55648B90" w14:textId="77777777" w:rsidR="004A4913" w:rsidRDefault="003B7B2C" w:rsidP="00E965AA">
      <w:pPr>
        <w:pStyle w:val="2"/>
      </w:pPr>
      <w:bookmarkStart w:id="10" w:name="a8"/>
      <w:bookmarkEnd w:id="10"/>
      <w:r>
        <w:t>第</w:t>
      </w:r>
      <w:r>
        <w:t>8</w:t>
      </w:r>
      <w:r>
        <w:t>條（主管機關應向立法院提出報告並公布於網站</w:t>
      </w:r>
      <w:r w:rsidR="004A4913">
        <w:t>）</w:t>
      </w:r>
    </w:p>
    <w:p w14:paraId="35256240" w14:textId="62DAC761" w:rsidR="003B7B2C" w:rsidRDefault="004A4913" w:rsidP="00E965AA">
      <w:pPr>
        <w:ind w:left="142"/>
        <w:rPr>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法制主管機關應就本條例所定之業務執行狀況，向立法院提出報告，並即時公布於網站。</w:t>
      </w:r>
    </w:p>
    <w:p w14:paraId="109EC6D4" w14:textId="77777777" w:rsidR="004A4913" w:rsidRDefault="003B7B2C" w:rsidP="00E965AA">
      <w:pPr>
        <w:pStyle w:val="2"/>
      </w:pPr>
      <w:bookmarkStart w:id="11" w:name="a9"/>
      <w:bookmarkEnd w:id="11"/>
      <w:r w:rsidRPr="00E965AA">
        <w:t>第</w:t>
      </w:r>
      <w:r w:rsidRPr="00E965AA">
        <w:t>9</w:t>
      </w:r>
      <w:r w:rsidRPr="00E965AA">
        <w:t>條（施行日</w:t>
      </w:r>
      <w:r w:rsidR="004A4913">
        <w:t>）</w:t>
      </w:r>
    </w:p>
    <w:p w14:paraId="35B1C58F" w14:textId="23236762" w:rsidR="00431EEC" w:rsidRPr="00C01BC3" w:rsidRDefault="004A4913" w:rsidP="00E965AA">
      <w:pPr>
        <w:ind w:left="142"/>
        <w:jc w:val="both"/>
        <w:rPr>
          <w:rFonts w:ascii="Arial Unicode MS" w:hAnsi="Arial Unicode MS"/>
          <w:color w:val="17365D"/>
        </w:rPr>
      </w:pPr>
      <w:r w:rsidRPr="004A4913">
        <w:rPr>
          <w:color w:val="404040" w:themeColor="text1" w:themeTint="BF"/>
          <w:sz w:val="18"/>
        </w:rPr>
        <w:t>﹝</w:t>
      </w:r>
      <w:r w:rsidRPr="004A4913">
        <w:rPr>
          <w:color w:val="404040" w:themeColor="text1" w:themeTint="BF"/>
          <w:sz w:val="18"/>
        </w:rPr>
        <w:t>1</w:t>
      </w:r>
      <w:r w:rsidRPr="004A4913">
        <w:rPr>
          <w:color w:val="404040" w:themeColor="text1" w:themeTint="BF"/>
          <w:sz w:val="18"/>
        </w:rPr>
        <w:t>﹞</w:t>
      </w:r>
      <w:r w:rsidR="003B7B2C">
        <w:rPr>
          <w:color w:val="17365D"/>
        </w:rPr>
        <w:t>本條例自公布日施行。</w:t>
      </w:r>
    </w:p>
    <w:p w14:paraId="7FF4CC32" w14:textId="77777777" w:rsidR="008C1688" w:rsidRPr="008C1688" w:rsidRDefault="008C1688" w:rsidP="00E965AA"/>
    <w:p w14:paraId="6D4AA4C7" w14:textId="77777777" w:rsidR="00431EEC" w:rsidRPr="00D244FB" w:rsidRDefault="00431EEC" w:rsidP="00360C9D">
      <w:pPr>
        <w:ind w:left="142"/>
        <w:jc w:val="both"/>
        <w:rPr>
          <w:rFonts w:ascii="Arial Unicode MS" w:hAnsi="Arial Unicode MS"/>
          <w:color w:val="17365D"/>
        </w:rPr>
      </w:pPr>
    </w:p>
    <w:p w14:paraId="1D7E5EFF" w14:textId="77777777" w:rsidR="00403B6A" w:rsidRPr="00C1655B" w:rsidRDefault="00403B6A" w:rsidP="00403B6A">
      <w:pPr>
        <w:ind w:leftChars="50" w:left="100"/>
        <w:jc w:val="both"/>
        <w:rPr>
          <w:color w:val="808000"/>
          <w:szCs w:val="20"/>
        </w:rPr>
      </w:pPr>
      <w:bookmarkStart w:id="12" w:name="_Hlk42132976"/>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25D3A">
        <w:rPr>
          <w:rStyle w:val="a3"/>
          <w:rFonts w:ascii="Arial Unicode MS" w:hAnsi="Arial Unicode MS" w:hint="eastAsia"/>
          <w:b/>
          <w:sz w:val="18"/>
          <w:u w:val="none"/>
        </w:rPr>
        <w:t>〉〉</w:t>
      </w:r>
    </w:p>
    <w:p w14:paraId="1BC2654D" w14:textId="293F06CD" w:rsidR="00431EEC" w:rsidRPr="00403B6A" w:rsidRDefault="00403B6A" w:rsidP="00403B6A">
      <w:pPr>
        <w:ind w:leftChars="71" w:left="142"/>
        <w:jc w:val="both"/>
        <w:rPr>
          <w:rFonts w:ascii="Arial Unicode MS" w:hAnsi="Arial Unicode MS"/>
          <w:color w:val="808080"/>
          <w:sz w:val="18"/>
          <w:szCs w:val="20"/>
        </w:rPr>
      </w:pPr>
      <w:r w:rsidRPr="003D460F">
        <w:rPr>
          <w:rFonts w:hint="eastAsia"/>
          <w:color w:val="5F5F5F"/>
          <w:sz w:val="18"/>
          <w:szCs w:val="18"/>
        </w:rPr>
        <w:t>【編註】</w:t>
      </w:r>
      <w:r w:rsidR="004A491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D66199">
          <w:rPr>
            <w:rStyle w:val="a3"/>
            <w:rFonts w:ascii="Arial Unicode MS" w:hAnsi="Arial Unicode MS"/>
            <w:sz w:val="18"/>
            <w:szCs w:val="20"/>
          </w:rPr>
          <w:t>告知</w:t>
        </w:r>
      </w:hyperlink>
      <w:r w:rsidRPr="003D460F">
        <w:rPr>
          <w:rFonts w:hint="eastAsia"/>
          <w:color w:val="5F5F5F"/>
          <w:sz w:val="18"/>
          <w:szCs w:val="20"/>
        </w:rPr>
        <w:t>，謝謝！</w:t>
      </w:r>
      <w:bookmarkEnd w:id="12"/>
    </w:p>
    <w:sectPr w:rsidR="00431EEC" w:rsidRPr="00403B6A">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E3FC" w14:textId="77777777" w:rsidR="00311D06" w:rsidRDefault="00311D06">
      <w:r>
        <w:separator/>
      </w:r>
    </w:p>
  </w:endnote>
  <w:endnote w:type="continuationSeparator" w:id="0">
    <w:p w14:paraId="64A45352" w14:textId="77777777" w:rsidR="00311D06" w:rsidRDefault="0031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DFA7"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AB7F1E6"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72D2"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92A3C">
      <w:rPr>
        <w:rStyle w:val="a7"/>
        <w:noProof/>
      </w:rPr>
      <w:t>1</w:t>
    </w:r>
    <w:r>
      <w:rPr>
        <w:rStyle w:val="a7"/>
      </w:rPr>
      <w:fldChar w:fldCharType="end"/>
    </w:r>
  </w:p>
  <w:p w14:paraId="392ACDF6" w14:textId="77777777" w:rsidR="00A6011A" w:rsidRPr="009758FD" w:rsidRDefault="00403B6A"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E965AA" w:rsidRPr="00E965AA">
      <w:rPr>
        <w:rFonts w:ascii="Arial Unicode MS" w:hAnsi="Arial Unicode MS" w:hint="eastAsia"/>
        <w:color w:val="000000"/>
        <w:sz w:val="18"/>
        <w:szCs w:val="24"/>
      </w:rPr>
      <w:t>公職人員年資併社團專職人員年資計發退離給與處理條例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0929" w14:textId="77777777" w:rsidR="00311D06" w:rsidRDefault="00311D06">
      <w:r>
        <w:separator/>
      </w:r>
    </w:p>
  </w:footnote>
  <w:footnote w:type="continuationSeparator" w:id="0">
    <w:p w14:paraId="0E4F85A8" w14:textId="77777777" w:rsidR="00311D06" w:rsidRDefault="00311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5163143">
    <w:abstractNumId w:val="0"/>
  </w:num>
  <w:num w:numId="2" w16cid:durableId="109494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444A"/>
    <w:rsid w:val="00010878"/>
    <w:rsid w:val="0003470A"/>
    <w:rsid w:val="00037674"/>
    <w:rsid w:val="00041F63"/>
    <w:rsid w:val="000443FD"/>
    <w:rsid w:val="00051407"/>
    <w:rsid w:val="00053A25"/>
    <w:rsid w:val="0006505D"/>
    <w:rsid w:val="0007318D"/>
    <w:rsid w:val="000A3A4A"/>
    <w:rsid w:val="000A7115"/>
    <w:rsid w:val="000B5254"/>
    <w:rsid w:val="000C1DAC"/>
    <w:rsid w:val="000D31F2"/>
    <w:rsid w:val="000D710E"/>
    <w:rsid w:val="000D7583"/>
    <w:rsid w:val="00100662"/>
    <w:rsid w:val="0012255A"/>
    <w:rsid w:val="001415EF"/>
    <w:rsid w:val="00143B85"/>
    <w:rsid w:val="00150B2B"/>
    <w:rsid w:val="00151F81"/>
    <w:rsid w:val="00156B63"/>
    <w:rsid w:val="001662B2"/>
    <w:rsid w:val="001668E9"/>
    <w:rsid w:val="00173A16"/>
    <w:rsid w:val="00177095"/>
    <w:rsid w:val="001A49BA"/>
    <w:rsid w:val="001A7DEB"/>
    <w:rsid w:val="001C258B"/>
    <w:rsid w:val="001D6830"/>
    <w:rsid w:val="001E4EAE"/>
    <w:rsid w:val="001F4C97"/>
    <w:rsid w:val="00222E53"/>
    <w:rsid w:val="002275F3"/>
    <w:rsid w:val="00241BBE"/>
    <w:rsid w:val="00260074"/>
    <w:rsid w:val="002B4B9C"/>
    <w:rsid w:val="002B565A"/>
    <w:rsid w:val="002E3B23"/>
    <w:rsid w:val="002E6DCE"/>
    <w:rsid w:val="002F5997"/>
    <w:rsid w:val="00311D06"/>
    <w:rsid w:val="0031479F"/>
    <w:rsid w:val="00316FDB"/>
    <w:rsid w:val="003222AE"/>
    <w:rsid w:val="00322A95"/>
    <w:rsid w:val="00347E94"/>
    <w:rsid w:val="003555EC"/>
    <w:rsid w:val="00356810"/>
    <w:rsid w:val="00360C9D"/>
    <w:rsid w:val="003701DD"/>
    <w:rsid w:val="00373827"/>
    <w:rsid w:val="00381C40"/>
    <w:rsid w:val="003A26A8"/>
    <w:rsid w:val="003B13F3"/>
    <w:rsid w:val="003B5672"/>
    <w:rsid w:val="003B7B2C"/>
    <w:rsid w:val="003E3D75"/>
    <w:rsid w:val="003F75CC"/>
    <w:rsid w:val="00403B6A"/>
    <w:rsid w:val="00411C6D"/>
    <w:rsid w:val="00420B53"/>
    <w:rsid w:val="00431EEC"/>
    <w:rsid w:val="004339F1"/>
    <w:rsid w:val="004457D2"/>
    <w:rsid w:val="00484105"/>
    <w:rsid w:val="00494A3E"/>
    <w:rsid w:val="004A0CC8"/>
    <w:rsid w:val="004A4913"/>
    <w:rsid w:val="004B52A7"/>
    <w:rsid w:val="004D1AE3"/>
    <w:rsid w:val="004E21D2"/>
    <w:rsid w:val="004F3A71"/>
    <w:rsid w:val="004F73FB"/>
    <w:rsid w:val="005004A3"/>
    <w:rsid w:val="005075C1"/>
    <w:rsid w:val="005360FE"/>
    <w:rsid w:val="00555D2B"/>
    <w:rsid w:val="00561FD3"/>
    <w:rsid w:val="00565C88"/>
    <w:rsid w:val="00567A84"/>
    <w:rsid w:val="00570166"/>
    <w:rsid w:val="00587BCC"/>
    <w:rsid w:val="005A3BDD"/>
    <w:rsid w:val="005C7F8A"/>
    <w:rsid w:val="006250A0"/>
    <w:rsid w:val="006254EE"/>
    <w:rsid w:val="006631DB"/>
    <w:rsid w:val="00664DFB"/>
    <w:rsid w:val="00683312"/>
    <w:rsid w:val="00692A3C"/>
    <w:rsid w:val="006A2BCA"/>
    <w:rsid w:val="006A4941"/>
    <w:rsid w:val="006B2AE3"/>
    <w:rsid w:val="006D0623"/>
    <w:rsid w:val="006D72FF"/>
    <w:rsid w:val="006E01BF"/>
    <w:rsid w:val="006E3BC0"/>
    <w:rsid w:val="006E705F"/>
    <w:rsid w:val="006F00F5"/>
    <w:rsid w:val="00703E61"/>
    <w:rsid w:val="007043B6"/>
    <w:rsid w:val="00707A19"/>
    <w:rsid w:val="00733D34"/>
    <w:rsid w:val="00755DE6"/>
    <w:rsid w:val="007720A1"/>
    <w:rsid w:val="00787B46"/>
    <w:rsid w:val="007B4E78"/>
    <w:rsid w:val="007B5269"/>
    <w:rsid w:val="007C5BAB"/>
    <w:rsid w:val="007C6BC7"/>
    <w:rsid w:val="007D7E8D"/>
    <w:rsid w:val="0083757D"/>
    <w:rsid w:val="00845988"/>
    <w:rsid w:val="00847FDF"/>
    <w:rsid w:val="008B03F1"/>
    <w:rsid w:val="008B5BAE"/>
    <w:rsid w:val="008C1688"/>
    <w:rsid w:val="008C4620"/>
    <w:rsid w:val="008C7018"/>
    <w:rsid w:val="008D7AA9"/>
    <w:rsid w:val="008E5159"/>
    <w:rsid w:val="0091603F"/>
    <w:rsid w:val="00931235"/>
    <w:rsid w:val="00944D56"/>
    <w:rsid w:val="0095145E"/>
    <w:rsid w:val="0095522E"/>
    <w:rsid w:val="00956013"/>
    <w:rsid w:val="009612D7"/>
    <w:rsid w:val="009758FD"/>
    <w:rsid w:val="0099154E"/>
    <w:rsid w:val="00991F3F"/>
    <w:rsid w:val="00995A2A"/>
    <w:rsid w:val="009A5B4E"/>
    <w:rsid w:val="009D286B"/>
    <w:rsid w:val="009D54F3"/>
    <w:rsid w:val="009E0895"/>
    <w:rsid w:val="00A276FD"/>
    <w:rsid w:val="00A43518"/>
    <w:rsid w:val="00A47A95"/>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65B86"/>
    <w:rsid w:val="00C752FE"/>
    <w:rsid w:val="00C812BD"/>
    <w:rsid w:val="00C83397"/>
    <w:rsid w:val="00D027CD"/>
    <w:rsid w:val="00D046B8"/>
    <w:rsid w:val="00D244FB"/>
    <w:rsid w:val="00D2753B"/>
    <w:rsid w:val="00D27DEA"/>
    <w:rsid w:val="00D36745"/>
    <w:rsid w:val="00D36C72"/>
    <w:rsid w:val="00D409E5"/>
    <w:rsid w:val="00D66E62"/>
    <w:rsid w:val="00D81359"/>
    <w:rsid w:val="00E13A0E"/>
    <w:rsid w:val="00E31347"/>
    <w:rsid w:val="00E3177E"/>
    <w:rsid w:val="00E41655"/>
    <w:rsid w:val="00E44D88"/>
    <w:rsid w:val="00E61168"/>
    <w:rsid w:val="00E623BE"/>
    <w:rsid w:val="00E678EC"/>
    <w:rsid w:val="00E718BD"/>
    <w:rsid w:val="00E81351"/>
    <w:rsid w:val="00E90198"/>
    <w:rsid w:val="00E94B1F"/>
    <w:rsid w:val="00E965AA"/>
    <w:rsid w:val="00EB2BDE"/>
    <w:rsid w:val="00EB52F5"/>
    <w:rsid w:val="00EC1889"/>
    <w:rsid w:val="00EC1B72"/>
    <w:rsid w:val="00F03768"/>
    <w:rsid w:val="00F12410"/>
    <w:rsid w:val="00F126D7"/>
    <w:rsid w:val="00F2026D"/>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5DB6A9"/>
  <w15:docId w15:val="{59C58F0E-F06E-4D28-A702-FAB1C64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E965AA"/>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E965AA"/>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40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5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https://www.mocs.gov.tw/" TargetMode="External"/><Relationship Id="rId2" Type="http://schemas.openxmlformats.org/officeDocument/2006/relationships/styles" Target="styles.xml"/><Relationship Id="rId16" Type="http://schemas.openxmlformats.org/officeDocument/2006/relationships/hyperlink" Target="../law1/&#25010;&#27861;&#27861;&#24237;&#21028;&#27770;&#24409;&#32232;.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https://www.6laws.net/6law/law/&#20844;&#32887;&#20154;&#21729;&#24180;&#36039;&#20341;&#31038;&#22296;&#23560;&#32887;&#20154;&#21729;&#24180;&#36039;&#35336;&#30332;&#36864;&#38626;&#32102;&#33287;&#34389;&#29702;&#26781;&#20363;.htm" TargetMode="External"/><Relationship Id="rId10" Type="http://schemas.openxmlformats.org/officeDocument/2006/relationships/hyperlink" Target="http://law.moj.gov.tw/LawClass/LawHistory.aspx?PCode=S008003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公職人員年資併社團專職人員年資計發退離給與處理條例</dc:title>
  <dc:creator>S-link 電子六法-黃婉玲</dc:creator>
  <cp:lastModifiedBy>黃 S</cp:lastModifiedBy>
  <cp:revision>27</cp:revision>
  <dcterms:created xsi:type="dcterms:W3CDTF">2017-05-10T06:29:00Z</dcterms:created>
  <dcterms:modified xsi:type="dcterms:W3CDTF">2023-05-27T08:15:00Z</dcterms:modified>
</cp:coreProperties>
</file>