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59CF0649"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B61C25">
        <w:rPr>
          <w:sz w:val="18"/>
        </w:rPr>
        <w:t>2025/1/31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25A6D7B3" w14:textId="336B1D49"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hyperlink r:id="rId11" w:history="1">
        <w:r w:rsidRPr="00B61C25">
          <w:rPr>
            <w:rStyle w:val="a3"/>
            <w:rFonts w:ascii="Times New Roman" w:hAnsi="Times New Roman" w:hint="eastAsia"/>
            <w:sz w:val="18"/>
            <w:szCs w:val="20"/>
            <w:u w:val="none"/>
          </w:rPr>
          <w:t>文件引導模式</w:t>
        </w:r>
      </w:hyperlink>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5AB3FD21" w14:textId="77777777" w:rsidTr="00A83EB0">
        <w:trPr>
          <w:cantSplit/>
          <w:trHeight w:val="750"/>
          <w:tblCellSpacing w:w="0" w:type="dxa"/>
        </w:trPr>
        <w:tc>
          <w:tcPr>
            <w:tcW w:w="557" w:type="pct"/>
            <w:tcBorders>
              <w:top w:val="nil"/>
              <w:left w:val="nil"/>
              <w:bottom w:val="nil"/>
              <w:right w:val="nil"/>
            </w:tcBorders>
            <w:shd w:val="clear" w:color="auto" w:fill="CC3300"/>
            <w:vAlign w:val="center"/>
          </w:tcPr>
          <w:p w14:paraId="0CADBB82"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7FFF16A8" w14:textId="5F7384D5" w:rsidR="00A6011A" w:rsidRPr="00703E61" w:rsidRDefault="00247468" w:rsidP="0099154E">
            <w:pPr>
              <w:ind w:leftChars="-6" w:left="-12" w:rightChars="-6" w:right="-12"/>
              <w:jc w:val="center"/>
              <w:rPr>
                <w:rFonts w:ascii="Arial Unicode MS" w:hAnsi="Arial Unicode MS"/>
                <w:b/>
                <w:bCs/>
                <w:color w:val="000000"/>
                <w:sz w:val="28"/>
                <w:szCs w:val="28"/>
              </w:rPr>
            </w:pPr>
            <w:r w:rsidRPr="00247468">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壯世代政策與產業發展促進法</w:t>
            </w:r>
          </w:p>
        </w:tc>
        <w:tc>
          <w:tcPr>
            <w:tcW w:w="1763" w:type="pct"/>
            <w:tcBorders>
              <w:top w:val="nil"/>
              <w:left w:val="nil"/>
              <w:bottom w:val="nil"/>
              <w:right w:val="nil"/>
            </w:tcBorders>
            <w:shd w:val="clear" w:color="auto" w:fill="FFFAE5"/>
            <w:vAlign w:val="center"/>
          </w:tcPr>
          <w:p w14:paraId="61688DF4" w14:textId="5EC7F950" w:rsidR="003B4B59" w:rsidRPr="00CF78CE" w:rsidRDefault="00E3177E" w:rsidP="003B4B59">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3B4B59" w:rsidRPr="00CF78CE">
              <w:rPr>
                <w:rFonts w:ascii="Arial Unicode MS" w:hAnsi="Arial Unicode MS" w:hint="eastAsia"/>
                <w:color w:val="990000"/>
              </w:rPr>
              <w:t>民國</w:t>
            </w:r>
            <w:r w:rsidR="003B4B59">
              <w:rPr>
                <w:rFonts w:ascii="Arial Unicode MS" w:hAnsi="Arial Unicode MS" w:hint="eastAsia"/>
                <w:color w:val="990000"/>
              </w:rPr>
              <w:t>1</w:t>
            </w:r>
            <w:r w:rsidR="003B4B59">
              <w:rPr>
                <w:rFonts w:ascii="Arial Unicode MS" w:hAnsi="Arial Unicode MS"/>
                <w:color w:val="990000"/>
              </w:rPr>
              <w:t>1</w:t>
            </w:r>
            <w:r w:rsidR="00746B53">
              <w:rPr>
                <w:rFonts w:ascii="Arial Unicode MS" w:hAnsi="Arial Unicode MS" w:hint="eastAsia"/>
                <w:color w:val="990000"/>
              </w:rPr>
              <w:t>4</w:t>
            </w:r>
            <w:r w:rsidR="003B4B59" w:rsidRPr="00CF78CE">
              <w:rPr>
                <w:rFonts w:ascii="Arial Unicode MS" w:hAnsi="Arial Unicode MS"/>
                <w:color w:val="990000"/>
              </w:rPr>
              <w:t>年</w:t>
            </w:r>
            <w:r w:rsidR="00746B53">
              <w:rPr>
                <w:rFonts w:ascii="Arial Unicode MS" w:hAnsi="Arial Unicode MS" w:hint="eastAsia"/>
                <w:color w:val="990000"/>
              </w:rPr>
              <w:t>1</w:t>
            </w:r>
            <w:r w:rsidR="003B4B59" w:rsidRPr="00CF78CE">
              <w:rPr>
                <w:rFonts w:ascii="Arial Unicode MS" w:hAnsi="Arial Unicode MS"/>
                <w:color w:val="990000"/>
              </w:rPr>
              <w:t>月</w:t>
            </w:r>
            <w:r w:rsidR="00746B53">
              <w:rPr>
                <w:rFonts w:ascii="Arial Unicode MS" w:hAnsi="Arial Unicode MS" w:hint="eastAsia"/>
                <w:color w:val="990000"/>
              </w:rPr>
              <w:t>7</w:t>
            </w:r>
            <w:r w:rsidR="003B4B59" w:rsidRPr="00CF78CE">
              <w:rPr>
                <w:rFonts w:ascii="Arial Unicode MS" w:hAnsi="Arial Unicode MS"/>
                <w:color w:val="990000"/>
              </w:rPr>
              <w:t>日</w:t>
            </w:r>
          </w:p>
          <w:p w14:paraId="5D81E17A" w14:textId="1BF26057" w:rsidR="00A6011A" w:rsidRPr="003555EC" w:rsidRDefault="003B4B59" w:rsidP="003B4B59">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sidR="00746B53">
              <w:rPr>
                <w:rFonts w:ascii="Arial Unicode MS" w:hAnsi="Arial Unicode MS" w:hint="eastAsia"/>
                <w:color w:val="990000"/>
              </w:rPr>
              <w:t>1</w:t>
            </w:r>
            <w:r w:rsidR="00746B53">
              <w:rPr>
                <w:rFonts w:ascii="Arial Unicode MS" w:hAnsi="Arial Unicode MS"/>
                <w:color w:val="990000"/>
              </w:rPr>
              <w:t>1</w:t>
            </w:r>
            <w:r w:rsidR="00746B53">
              <w:rPr>
                <w:rFonts w:ascii="Arial Unicode MS" w:hAnsi="Arial Unicode MS" w:hint="eastAsia"/>
                <w:color w:val="990000"/>
              </w:rPr>
              <w:t>4</w:t>
            </w:r>
            <w:r w:rsidR="00746B53" w:rsidRPr="00CF78CE">
              <w:rPr>
                <w:rFonts w:ascii="Arial Unicode MS" w:hAnsi="Arial Unicode MS"/>
                <w:color w:val="990000"/>
              </w:rPr>
              <w:t>年</w:t>
            </w:r>
            <w:r w:rsidR="00746B53">
              <w:rPr>
                <w:rFonts w:ascii="Arial Unicode MS" w:hAnsi="Arial Unicode MS" w:hint="eastAsia"/>
                <w:color w:val="990000"/>
              </w:rPr>
              <w:t>1</w:t>
            </w:r>
            <w:r w:rsidR="00746B53" w:rsidRPr="00CF78CE">
              <w:rPr>
                <w:rFonts w:ascii="Arial Unicode MS" w:hAnsi="Arial Unicode MS"/>
                <w:color w:val="990000"/>
              </w:rPr>
              <w:t>月</w:t>
            </w:r>
            <w:r w:rsidR="00746B53">
              <w:rPr>
                <w:rFonts w:ascii="Arial Unicode MS" w:hAnsi="Arial Unicode MS" w:hint="eastAsia"/>
                <w:color w:val="990000"/>
              </w:rPr>
              <w:t>24</w:t>
            </w:r>
            <w:r w:rsidRPr="00CF78CE">
              <w:rPr>
                <w:rFonts w:ascii="Arial Unicode MS" w:hAnsi="Arial Unicode MS"/>
                <w:color w:val="990000"/>
              </w:rPr>
              <w:t>日</w:t>
            </w:r>
          </w:p>
        </w:tc>
      </w:tr>
    </w:tbl>
    <w:p w14:paraId="4602C5D6" w14:textId="46064193"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2" w:anchor="壯世代政策與產業發展促進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3"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36C7D54"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38E781C5" w14:textId="1334AA89" w:rsidR="00845988" w:rsidRDefault="00F43973" w:rsidP="0099154E">
      <w:pPr>
        <w:ind w:leftChars="75" w:left="150"/>
        <w:jc w:val="both"/>
        <w:rPr>
          <w:rFonts w:ascii="Arial Unicode MS" w:hAnsi="Arial Unicode MS"/>
          <w:b/>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EA2D6E" w:rsidRPr="00EA2D6E">
        <w:rPr>
          <w:rFonts w:ascii="Arial Unicode MS" w:hAnsi="Arial Unicode MS" w:hint="eastAsia"/>
          <w:bCs/>
          <w:color w:val="666699"/>
          <w:sz w:val="18"/>
        </w:rPr>
        <w:t>中華民國一百十四年一月二十四日總統華總一義字第</w:t>
      </w:r>
      <w:r w:rsidR="00EA2D6E" w:rsidRPr="00EA2D6E">
        <w:rPr>
          <w:rFonts w:ascii="Arial Unicode MS" w:hAnsi="Arial Unicode MS" w:hint="eastAsia"/>
          <w:bCs/>
          <w:color w:val="666699"/>
          <w:sz w:val="18"/>
        </w:rPr>
        <w:t>11400008931</w:t>
      </w:r>
      <w:r w:rsidR="00EA2D6E" w:rsidRPr="00EA2D6E">
        <w:rPr>
          <w:rFonts w:ascii="Arial Unicode MS" w:hAnsi="Arial Unicode MS" w:hint="eastAsia"/>
          <w:bCs/>
          <w:color w:val="666699"/>
          <w:sz w:val="18"/>
        </w:rPr>
        <w:t>號令制定公布全文</w:t>
      </w:r>
      <w:r w:rsidR="00EA2D6E" w:rsidRPr="00EA2D6E">
        <w:rPr>
          <w:rFonts w:ascii="Arial Unicode MS" w:hAnsi="Arial Unicode MS" w:hint="eastAsia"/>
          <w:bCs/>
          <w:color w:val="666699"/>
          <w:sz w:val="18"/>
        </w:rPr>
        <w:t>20</w:t>
      </w:r>
      <w:r w:rsidR="00EA2D6E" w:rsidRPr="00EA2D6E">
        <w:rPr>
          <w:rFonts w:ascii="Arial Unicode MS" w:hAnsi="Arial Unicode MS" w:hint="eastAsia"/>
          <w:bCs/>
          <w:color w:val="666699"/>
          <w:sz w:val="18"/>
        </w:rPr>
        <w:t>條；並自一百十五年一月一日施行</w:t>
      </w:r>
    </w:p>
    <w:p w14:paraId="626521DC" w14:textId="77777777" w:rsidR="00845988" w:rsidRPr="003555EC" w:rsidRDefault="00845988" w:rsidP="0099154E">
      <w:pPr>
        <w:ind w:leftChars="75" w:left="150"/>
        <w:jc w:val="both"/>
        <w:rPr>
          <w:rFonts w:ascii="Arial Unicode MS" w:hAnsi="Arial Unicode MS"/>
          <w:b/>
          <w:bCs/>
          <w:color w:val="800000"/>
        </w:rPr>
      </w:pPr>
    </w:p>
    <w:p w14:paraId="5CD0D01C" w14:textId="13015A98" w:rsidR="00A6011A" w:rsidRPr="00AF2E81" w:rsidRDefault="00746B53" w:rsidP="00AF2E81">
      <w:pPr>
        <w:pStyle w:val="1"/>
        <w:rPr>
          <w:color w:val="990000"/>
        </w:rPr>
      </w:pPr>
      <w:r>
        <w:rPr>
          <w:color w:val="990000"/>
        </w:rPr>
        <w:t>【法規內容】</w:t>
      </w:r>
    </w:p>
    <w:p w14:paraId="1E21FBBF" w14:textId="77777777" w:rsidR="00746B53" w:rsidRDefault="00746B53" w:rsidP="00746B53">
      <w:pPr>
        <w:pStyle w:val="2"/>
      </w:pPr>
      <w:bookmarkStart w:id="1" w:name="a1"/>
      <w:bookmarkEnd w:id="1"/>
      <w:r w:rsidRPr="00746B53">
        <w:t>第</w:t>
      </w:r>
      <w:r w:rsidRPr="00746B53">
        <w:t>1</w:t>
      </w:r>
      <w:r>
        <w:t>條</w:t>
      </w:r>
    </w:p>
    <w:p w14:paraId="30D435BF" w14:textId="022C312B"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為因應超高齡社會，促使國家政策制定與產業發展能因應人口變遷所生的新社會與市場結構，翻轉銀髮海嘯轉為國家發展動力，降低年輕世代負擔，實現世代經濟循環目標，維護壯世代人權與尊嚴，創造跨齡共榮，韌性永續之目標，特制定本法</w:t>
      </w:r>
      <w:r w:rsidRPr="00746B53">
        <w:rPr>
          <w:color w:val="17365D"/>
        </w:rPr>
        <w:t>。</w:t>
      </w:r>
    </w:p>
    <w:p w14:paraId="140C1E6E" w14:textId="77777777" w:rsidR="00746B53" w:rsidRDefault="00746B53" w:rsidP="00746B53">
      <w:pPr>
        <w:pStyle w:val="2"/>
      </w:pPr>
      <w:bookmarkStart w:id="2" w:name="a2"/>
      <w:bookmarkEnd w:id="2"/>
      <w:r w:rsidRPr="00746B53">
        <w:t>第</w:t>
      </w:r>
      <w:r w:rsidRPr="00746B53">
        <w:t>2</w:t>
      </w:r>
      <w:r>
        <w:t>條</w:t>
      </w:r>
    </w:p>
    <w:p w14:paraId="2E9E8BF3" w14:textId="2CEC748D"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本法所稱壯世代，指五十五歲以上有工作能力及意願之國民</w:t>
      </w:r>
      <w:r w:rsidRPr="00746B53">
        <w:rPr>
          <w:color w:val="17365D"/>
        </w:rPr>
        <w:t>。</w:t>
      </w:r>
    </w:p>
    <w:p w14:paraId="56202EEB" w14:textId="77777777" w:rsidR="00746B53" w:rsidRDefault="00746B53" w:rsidP="00746B53">
      <w:pPr>
        <w:pStyle w:val="2"/>
      </w:pPr>
      <w:bookmarkStart w:id="3" w:name="a3"/>
      <w:bookmarkEnd w:id="3"/>
      <w:r w:rsidRPr="00746B53">
        <w:t>第</w:t>
      </w:r>
      <w:r w:rsidRPr="00746B53">
        <w:t>3</w:t>
      </w:r>
      <w:r>
        <w:t>條</w:t>
      </w:r>
    </w:p>
    <w:p w14:paraId="3E0ADD0D" w14:textId="124BC5DD" w:rsid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本法所稱主管機關為</w:t>
      </w:r>
      <w:hyperlink r:id="rId14" w:tgtFrame="_blank" w:history="1">
        <w:r w:rsidRPr="00746B53">
          <w:rPr>
            <w:rStyle w:val="a3"/>
            <w:rFonts w:ascii="Arial Unicode MS" w:hAnsi="Arial Unicode MS"/>
            <w:szCs w:val="26"/>
          </w:rPr>
          <w:t>國家發展委員會</w:t>
        </w:r>
      </w:hyperlink>
      <w:r>
        <w:rPr>
          <w:color w:val="17365D"/>
        </w:rPr>
        <w:t>。</w:t>
      </w:r>
    </w:p>
    <w:p w14:paraId="26577C86" w14:textId="2B6F7C1D"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2</w:t>
      </w:r>
      <w:r w:rsidRPr="00746B53">
        <w:rPr>
          <w:color w:val="404040" w:themeColor="text1" w:themeTint="BF"/>
          <w:sz w:val="18"/>
        </w:rPr>
        <w:t>﹞</w:t>
      </w:r>
      <w:r w:rsidRPr="00746B53">
        <w:rPr>
          <w:color w:val="17365D"/>
        </w:rPr>
        <w:t>本法所定事項，涉及各目的事業主管機關職掌者，由各目的事業主管機關辦理</w:t>
      </w:r>
      <w:r w:rsidRPr="00746B53">
        <w:rPr>
          <w:color w:val="17365D"/>
        </w:rPr>
        <w:t>。</w:t>
      </w:r>
    </w:p>
    <w:p w14:paraId="15EF10C7" w14:textId="77777777" w:rsidR="00746B53" w:rsidRDefault="00746B53" w:rsidP="00746B53">
      <w:pPr>
        <w:pStyle w:val="2"/>
      </w:pPr>
      <w:bookmarkStart w:id="4" w:name="a4"/>
      <w:bookmarkEnd w:id="4"/>
      <w:r w:rsidRPr="00746B53">
        <w:t>第</w:t>
      </w:r>
      <w:r w:rsidRPr="00746B53">
        <w:t>4</w:t>
      </w:r>
      <w:r>
        <w:t>條</w:t>
      </w:r>
    </w:p>
    <w:p w14:paraId="0B26BA57" w14:textId="6690ABF3"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政府應積極推動、輔助壯世代產業之發展，培植壯世代新創及產業鏈</w:t>
      </w:r>
      <w:r w:rsidRPr="00746B53">
        <w:rPr>
          <w:color w:val="17365D"/>
        </w:rPr>
        <w:t>。</w:t>
      </w:r>
    </w:p>
    <w:p w14:paraId="3F806701" w14:textId="77777777" w:rsidR="00746B53" w:rsidRDefault="00746B53" w:rsidP="00746B53">
      <w:pPr>
        <w:pStyle w:val="2"/>
      </w:pPr>
      <w:bookmarkStart w:id="5" w:name="a5"/>
      <w:bookmarkEnd w:id="5"/>
      <w:r w:rsidRPr="00746B53">
        <w:t>第</w:t>
      </w:r>
      <w:r w:rsidRPr="00746B53">
        <w:t>5</w:t>
      </w:r>
      <w:r>
        <w:t>條</w:t>
      </w:r>
    </w:p>
    <w:p w14:paraId="671748EF" w14:textId="3706C605"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政府應建立壯世代金融行動方案與指標，提供相關金融商品或服務鼓勵措施；同時積極提供壯世代金融教育，強化金融識能</w:t>
      </w:r>
      <w:r w:rsidRPr="00746B53">
        <w:rPr>
          <w:color w:val="17365D"/>
        </w:rPr>
        <w:t>。</w:t>
      </w:r>
    </w:p>
    <w:p w14:paraId="26C12AB3" w14:textId="77777777" w:rsidR="00746B53" w:rsidRDefault="00746B53" w:rsidP="00746B53">
      <w:pPr>
        <w:pStyle w:val="2"/>
      </w:pPr>
      <w:bookmarkStart w:id="6" w:name="a6"/>
      <w:bookmarkEnd w:id="6"/>
      <w:r w:rsidRPr="00746B53">
        <w:t>第</w:t>
      </w:r>
      <w:r w:rsidRPr="00746B53">
        <w:t>6</w:t>
      </w:r>
      <w:r>
        <w:t>條</w:t>
      </w:r>
    </w:p>
    <w:p w14:paraId="23C510CE" w14:textId="60915D9E" w:rsid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主管機關與目的事業主管機關應鼓勵公私部門與學術機構合作，強化壯世代相關議題之研究與應用</w:t>
      </w:r>
      <w:r>
        <w:rPr>
          <w:color w:val="17365D"/>
        </w:rPr>
        <w:t>。</w:t>
      </w:r>
    </w:p>
    <w:p w14:paraId="10120354" w14:textId="6D3DE2A7"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2</w:t>
      </w:r>
      <w:r w:rsidRPr="00746B53">
        <w:rPr>
          <w:color w:val="404040" w:themeColor="text1" w:themeTint="BF"/>
          <w:sz w:val="18"/>
        </w:rPr>
        <w:t>﹞</w:t>
      </w:r>
      <w:r w:rsidRPr="00746B53">
        <w:rPr>
          <w:color w:val="17365D"/>
        </w:rPr>
        <w:t>主管機關應至少每五年辦理全國性壯世代狀況調查，出版統計報告</w:t>
      </w:r>
      <w:r w:rsidRPr="00746B53">
        <w:rPr>
          <w:color w:val="17365D"/>
        </w:rPr>
        <w:t>。</w:t>
      </w:r>
    </w:p>
    <w:p w14:paraId="22FBF01F" w14:textId="77777777" w:rsidR="00746B53" w:rsidRDefault="00746B53" w:rsidP="00746B53">
      <w:pPr>
        <w:pStyle w:val="2"/>
      </w:pPr>
      <w:bookmarkStart w:id="7" w:name="a7"/>
      <w:bookmarkEnd w:id="7"/>
      <w:r w:rsidRPr="00746B53">
        <w:t>第</w:t>
      </w:r>
      <w:r w:rsidRPr="00746B53">
        <w:t>7</w:t>
      </w:r>
      <w:r>
        <w:t>條</w:t>
      </w:r>
    </w:p>
    <w:p w14:paraId="5B49054E" w14:textId="2EFFAC05"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政府應積極推動壯世代就業，發展友善職場環境，建立合宜媒合及培訓機制，推動彈性工作模式，在尊重及反歧視原則下創造壯世代適性就業環境</w:t>
      </w:r>
      <w:r w:rsidRPr="00746B53">
        <w:rPr>
          <w:color w:val="17365D"/>
        </w:rPr>
        <w:t>。</w:t>
      </w:r>
    </w:p>
    <w:p w14:paraId="04DF2A02" w14:textId="77777777" w:rsidR="00746B53" w:rsidRDefault="00746B53" w:rsidP="00746B53">
      <w:pPr>
        <w:pStyle w:val="2"/>
      </w:pPr>
      <w:bookmarkStart w:id="8" w:name="a8"/>
      <w:bookmarkEnd w:id="8"/>
      <w:r w:rsidRPr="00746B53">
        <w:t>第</w:t>
      </w:r>
      <w:r w:rsidRPr="00746B53">
        <w:t>8</w:t>
      </w:r>
      <w:r>
        <w:t>條</w:t>
      </w:r>
    </w:p>
    <w:p w14:paraId="6BFD6B49" w14:textId="6FA669CA"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政府應從健康促進與延緩失能觀點，藉醫療投資，增進智慧精準醫療，以維護壯世代身心健康；並就預防保健、心理衛生、醫療與復健之規劃、推動及監督等事項保障壯世代權益</w:t>
      </w:r>
      <w:r w:rsidRPr="00746B53">
        <w:rPr>
          <w:color w:val="17365D"/>
        </w:rPr>
        <w:t>。</w:t>
      </w:r>
    </w:p>
    <w:p w14:paraId="73974541" w14:textId="77777777" w:rsidR="00746B53" w:rsidRDefault="00746B53" w:rsidP="00746B53">
      <w:pPr>
        <w:pStyle w:val="2"/>
      </w:pPr>
      <w:bookmarkStart w:id="9" w:name="a9"/>
      <w:bookmarkEnd w:id="9"/>
      <w:r w:rsidRPr="00746B53">
        <w:lastRenderedPageBreak/>
        <w:t>第</w:t>
      </w:r>
      <w:r w:rsidRPr="00746B53">
        <w:t>9</w:t>
      </w:r>
      <w:r>
        <w:t>條</w:t>
      </w:r>
    </w:p>
    <w:p w14:paraId="378F7CA9" w14:textId="3EA37824"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政府應與大學合作，整合相關教學資源、培訓機構或團體，建構多元學習管道，建立壯世代終身學習與社會參與</w:t>
      </w:r>
      <w:r w:rsidRPr="00746B53">
        <w:rPr>
          <w:color w:val="17365D"/>
        </w:rPr>
        <w:t>。</w:t>
      </w:r>
    </w:p>
    <w:p w14:paraId="01539988" w14:textId="77777777" w:rsidR="00746B53" w:rsidRDefault="00746B53" w:rsidP="00746B53">
      <w:pPr>
        <w:pStyle w:val="2"/>
      </w:pPr>
      <w:bookmarkStart w:id="10" w:name="a10"/>
      <w:bookmarkEnd w:id="10"/>
      <w:r w:rsidRPr="00746B53">
        <w:t>第</w:t>
      </w:r>
      <w:r w:rsidRPr="00746B53">
        <w:t>10</w:t>
      </w:r>
      <w:r>
        <w:t>條</w:t>
      </w:r>
    </w:p>
    <w:p w14:paraId="35663E01" w14:textId="0BD068BA"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政府應協助壯世代積極參與數位社會，創造數位平權環境，以使壯世代智慧資產有效貢獻社會</w:t>
      </w:r>
      <w:r w:rsidRPr="00746B53">
        <w:rPr>
          <w:color w:val="17365D"/>
        </w:rPr>
        <w:t>。</w:t>
      </w:r>
    </w:p>
    <w:p w14:paraId="168E3445" w14:textId="77777777" w:rsidR="00746B53" w:rsidRDefault="00746B53" w:rsidP="00746B53">
      <w:pPr>
        <w:pStyle w:val="2"/>
      </w:pPr>
      <w:bookmarkStart w:id="11" w:name="a11"/>
      <w:bookmarkEnd w:id="11"/>
      <w:r w:rsidRPr="00746B53">
        <w:t>第</w:t>
      </w:r>
      <w:r w:rsidRPr="00746B53">
        <w:t>11</w:t>
      </w:r>
      <w:r>
        <w:t>條</w:t>
      </w:r>
    </w:p>
    <w:p w14:paraId="05A6E3EA" w14:textId="3C3DF38E"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政府應建立合宜、共榮之世代共存之新文化，並積極建立相關文化產業</w:t>
      </w:r>
      <w:r w:rsidRPr="00746B53">
        <w:rPr>
          <w:color w:val="17365D"/>
        </w:rPr>
        <w:t>。</w:t>
      </w:r>
    </w:p>
    <w:p w14:paraId="41176C87" w14:textId="77777777" w:rsidR="00746B53" w:rsidRDefault="00746B53" w:rsidP="00746B53">
      <w:pPr>
        <w:pStyle w:val="2"/>
      </w:pPr>
      <w:bookmarkStart w:id="12" w:name="a12"/>
      <w:bookmarkEnd w:id="12"/>
      <w:r w:rsidRPr="00746B53">
        <w:t>第</w:t>
      </w:r>
      <w:r w:rsidRPr="00746B53">
        <w:t>12</w:t>
      </w:r>
      <w:r>
        <w:t>條</w:t>
      </w:r>
    </w:p>
    <w:p w14:paraId="157012E0" w14:textId="5C741AC7"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政府應推動壯世代觀光發展，建立壯世代旅遊行銷品牌，媒合在地組織與產業界，鼓勵壯世代提出或參與觀光旅遊相關提案。促成壯世代產業對優質壯世代旅遊規劃之共識</w:t>
      </w:r>
      <w:r w:rsidRPr="00746B53">
        <w:rPr>
          <w:color w:val="17365D"/>
        </w:rPr>
        <w:t>。</w:t>
      </w:r>
    </w:p>
    <w:p w14:paraId="2D6C96DB" w14:textId="77777777" w:rsidR="00746B53" w:rsidRDefault="00746B53" w:rsidP="00746B53">
      <w:pPr>
        <w:pStyle w:val="2"/>
      </w:pPr>
      <w:bookmarkStart w:id="13" w:name="a13"/>
      <w:bookmarkEnd w:id="13"/>
      <w:r w:rsidRPr="00746B53">
        <w:t>第</w:t>
      </w:r>
      <w:r w:rsidRPr="00746B53">
        <w:t>13</w:t>
      </w:r>
      <w:r>
        <w:t>條</w:t>
      </w:r>
    </w:p>
    <w:p w14:paraId="5CF4297B" w14:textId="069C8BB0"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政府應針對壯世代農民或跨域從農者提升農業技術及農業經營。結合青壯年留農或返農、增加農業及農村經濟產值，並建立壯世代農民與在地青農交流及服務平臺機制，促進農村再生與農業永續發展</w:t>
      </w:r>
      <w:r w:rsidRPr="00746B53">
        <w:rPr>
          <w:color w:val="17365D"/>
        </w:rPr>
        <w:t>。</w:t>
      </w:r>
    </w:p>
    <w:p w14:paraId="7CF0DF8D" w14:textId="77777777" w:rsidR="00746B53" w:rsidRDefault="00746B53" w:rsidP="00746B53">
      <w:pPr>
        <w:pStyle w:val="2"/>
      </w:pPr>
      <w:bookmarkStart w:id="14" w:name="a14"/>
      <w:bookmarkEnd w:id="14"/>
      <w:r w:rsidRPr="00746B53">
        <w:t>第</w:t>
      </w:r>
      <w:r w:rsidRPr="00746B53">
        <w:t>14</w:t>
      </w:r>
      <w:r>
        <w:t>條</w:t>
      </w:r>
    </w:p>
    <w:p w14:paraId="72ADD6BE" w14:textId="3C894B1D"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鼓勵壯世代參與地方創生，透過媒合機制建立壯世代與在地團體創生組織合作，提供技術及知識等投入地方創生事業，創造地方共好發展</w:t>
      </w:r>
      <w:r w:rsidRPr="00746B53">
        <w:rPr>
          <w:color w:val="17365D"/>
        </w:rPr>
        <w:t>。</w:t>
      </w:r>
    </w:p>
    <w:p w14:paraId="1EC11452" w14:textId="77777777" w:rsidR="00746B53" w:rsidRDefault="00746B53" w:rsidP="00746B53">
      <w:pPr>
        <w:pStyle w:val="2"/>
      </w:pPr>
      <w:bookmarkStart w:id="15" w:name="a15"/>
      <w:bookmarkEnd w:id="15"/>
      <w:r w:rsidRPr="00746B53">
        <w:t>第</w:t>
      </w:r>
      <w:r w:rsidRPr="00746B53">
        <w:t>15</w:t>
      </w:r>
      <w:r>
        <w:t>條</w:t>
      </w:r>
    </w:p>
    <w:p w14:paraId="28532EF6" w14:textId="55649365"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政府應建立壯世代相關統計資料，並每年公布之</w:t>
      </w:r>
      <w:r w:rsidRPr="00746B53">
        <w:rPr>
          <w:color w:val="17365D"/>
        </w:rPr>
        <w:t>。</w:t>
      </w:r>
    </w:p>
    <w:p w14:paraId="6F3B633F" w14:textId="77777777" w:rsidR="00746B53" w:rsidRDefault="00746B53" w:rsidP="00746B53">
      <w:pPr>
        <w:pStyle w:val="2"/>
      </w:pPr>
      <w:bookmarkStart w:id="16" w:name="a16"/>
      <w:bookmarkEnd w:id="16"/>
      <w:r w:rsidRPr="00746B53">
        <w:t>第</w:t>
      </w:r>
      <w:r w:rsidRPr="00746B53">
        <w:t>16</w:t>
      </w:r>
      <w:r>
        <w:t>條</w:t>
      </w:r>
    </w:p>
    <w:p w14:paraId="05E46608" w14:textId="141E367F" w:rsid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各級政府應以首長或其指定之人為召集人，邀集相關學者、專家、民間機構、團體代表，及壯世代族群代表，定期召開會議或論壇，協調、諮詢、審議及規劃推動與其主管業務相關之壯世代政策</w:t>
      </w:r>
      <w:r>
        <w:rPr>
          <w:color w:val="17365D"/>
        </w:rPr>
        <w:t>。</w:t>
      </w:r>
    </w:p>
    <w:p w14:paraId="4184FC93" w14:textId="10BE59CB"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2</w:t>
      </w:r>
      <w:r w:rsidRPr="00746B53">
        <w:rPr>
          <w:color w:val="404040" w:themeColor="text1" w:themeTint="BF"/>
          <w:sz w:val="18"/>
        </w:rPr>
        <w:t>﹞</w:t>
      </w:r>
      <w:r w:rsidRPr="00746B53">
        <w:rPr>
          <w:color w:val="17365D"/>
        </w:rPr>
        <w:t>各級政府應鼓勵企業及社會團體善盡社會責任，共同推動壯世代政策</w:t>
      </w:r>
      <w:r w:rsidRPr="00746B53">
        <w:rPr>
          <w:color w:val="17365D"/>
        </w:rPr>
        <w:t>。</w:t>
      </w:r>
    </w:p>
    <w:p w14:paraId="7D08B874" w14:textId="77777777" w:rsidR="00746B53" w:rsidRDefault="00746B53" w:rsidP="00746B53">
      <w:pPr>
        <w:pStyle w:val="2"/>
      </w:pPr>
      <w:bookmarkStart w:id="17" w:name="a17"/>
      <w:bookmarkEnd w:id="17"/>
      <w:r w:rsidRPr="00746B53">
        <w:t>第</w:t>
      </w:r>
      <w:r w:rsidRPr="00746B53">
        <w:t>17</w:t>
      </w:r>
      <w:r>
        <w:t>條</w:t>
      </w:r>
    </w:p>
    <w:p w14:paraId="4E822034" w14:textId="7711E2E4" w:rsid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政府應寬列壯世代事務預算，合理分配及運用，確保經費符合政策所需</w:t>
      </w:r>
      <w:r>
        <w:rPr>
          <w:color w:val="17365D"/>
        </w:rPr>
        <w:t>。</w:t>
      </w:r>
    </w:p>
    <w:p w14:paraId="44E3349F" w14:textId="479736C3"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2</w:t>
      </w:r>
      <w:r w:rsidRPr="00746B53">
        <w:rPr>
          <w:color w:val="404040" w:themeColor="text1" w:themeTint="BF"/>
          <w:sz w:val="18"/>
        </w:rPr>
        <w:t>﹞</w:t>
      </w:r>
      <w:r w:rsidRPr="00746B53">
        <w:rPr>
          <w:color w:val="17365D"/>
        </w:rPr>
        <w:t>政府應依實際需要合理分配、挹注資源，補助、表彰相關學術機構、產業界、民間團體與個人等，共同推動壯世代政策及措施</w:t>
      </w:r>
      <w:r w:rsidRPr="00746B53">
        <w:rPr>
          <w:color w:val="17365D"/>
        </w:rPr>
        <w:t>。</w:t>
      </w:r>
    </w:p>
    <w:p w14:paraId="3D5348CE" w14:textId="77777777" w:rsidR="00746B53" w:rsidRDefault="00746B53" w:rsidP="00746B53">
      <w:pPr>
        <w:pStyle w:val="2"/>
      </w:pPr>
      <w:bookmarkStart w:id="18" w:name="a18"/>
      <w:bookmarkEnd w:id="18"/>
      <w:r w:rsidRPr="00746B53">
        <w:t>第</w:t>
      </w:r>
      <w:r w:rsidRPr="00746B53">
        <w:t>18</w:t>
      </w:r>
      <w:r>
        <w:t>條</w:t>
      </w:r>
    </w:p>
    <w:p w14:paraId="517C9F99" w14:textId="58CD0ABD" w:rsid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政府應於本法施行後二年內發布國家壯世代人口政策白皮書，並定期依其績效及國內外情勢發展定期檢討修正之</w:t>
      </w:r>
      <w:r>
        <w:rPr>
          <w:color w:val="17365D"/>
        </w:rPr>
        <w:t>。</w:t>
      </w:r>
    </w:p>
    <w:p w14:paraId="0973AC8B" w14:textId="25CDACBC"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2</w:t>
      </w:r>
      <w:r w:rsidRPr="00746B53">
        <w:rPr>
          <w:color w:val="404040" w:themeColor="text1" w:themeTint="BF"/>
          <w:sz w:val="18"/>
        </w:rPr>
        <w:t>﹞</w:t>
      </w:r>
      <w:r w:rsidRPr="00746B53">
        <w:rPr>
          <w:color w:val="17365D"/>
        </w:rPr>
        <w:t>各級政府應配合國家壯世代人口政策白皮書，檢討所主管之政策與行政措施，有不符其規定者，應訂定、修正其相關政策及行政措施，並推動執行</w:t>
      </w:r>
      <w:r w:rsidRPr="00746B53">
        <w:rPr>
          <w:color w:val="17365D"/>
        </w:rPr>
        <w:t>。</w:t>
      </w:r>
    </w:p>
    <w:p w14:paraId="31BF0184" w14:textId="77777777" w:rsidR="00746B53" w:rsidRDefault="00746B53" w:rsidP="00746B53">
      <w:pPr>
        <w:pStyle w:val="2"/>
      </w:pPr>
      <w:bookmarkStart w:id="19" w:name="a19"/>
      <w:bookmarkEnd w:id="19"/>
      <w:r w:rsidRPr="00746B53">
        <w:t>第</w:t>
      </w:r>
      <w:r w:rsidRPr="00746B53">
        <w:t>19</w:t>
      </w:r>
      <w:r>
        <w:t>條</w:t>
      </w:r>
    </w:p>
    <w:p w14:paraId="15DF1D24" w14:textId="656D22E6" w:rsidR="00746B53" w:rsidRPr="00746B53" w:rsidRDefault="00746B53" w:rsidP="00746B53">
      <w:pPr>
        <w:ind w:left="142"/>
        <w:rPr>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為因應壯世代事務需求，各級政府應充實相關人力，辦理人員教育訓練，以提升工作品質</w:t>
      </w:r>
      <w:r w:rsidRPr="00746B53">
        <w:rPr>
          <w:color w:val="17365D"/>
        </w:rPr>
        <w:t>。</w:t>
      </w:r>
    </w:p>
    <w:p w14:paraId="1788C746" w14:textId="77777777" w:rsidR="00746B53" w:rsidRDefault="00746B53" w:rsidP="00746B53">
      <w:pPr>
        <w:pStyle w:val="2"/>
      </w:pPr>
      <w:bookmarkStart w:id="20" w:name="a20"/>
      <w:bookmarkEnd w:id="20"/>
      <w:r w:rsidRPr="00746B53">
        <w:lastRenderedPageBreak/>
        <w:t>第</w:t>
      </w:r>
      <w:r w:rsidRPr="00746B53">
        <w:t>20</w:t>
      </w:r>
      <w:r>
        <w:t>條</w:t>
      </w:r>
    </w:p>
    <w:p w14:paraId="11E04110" w14:textId="197735AD" w:rsidR="00845988" w:rsidRPr="00746B53" w:rsidRDefault="00746B53" w:rsidP="00746B53">
      <w:pPr>
        <w:ind w:left="142"/>
        <w:jc w:val="both"/>
        <w:rPr>
          <w:rFonts w:ascii="Arial Unicode MS" w:hAnsi="Arial Unicode MS"/>
          <w:color w:val="17365D"/>
        </w:rPr>
      </w:pPr>
      <w:r w:rsidRPr="00746B53">
        <w:rPr>
          <w:color w:val="404040" w:themeColor="text1" w:themeTint="BF"/>
          <w:sz w:val="18"/>
        </w:rPr>
        <w:t>﹝</w:t>
      </w:r>
      <w:r w:rsidRPr="00746B53">
        <w:rPr>
          <w:color w:val="404040" w:themeColor="text1" w:themeTint="BF"/>
          <w:sz w:val="18"/>
        </w:rPr>
        <w:t>1</w:t>
      </w:r>
      <w:r w:rsidRPr="00746B53">
        <w:rPr>
          <w:color w:val="404040" w:themeColor="text1" w:themeTint="BF"/>
          <w:sz w:val="18"/>
        </w:rPr>
        <w:t>﹞</w:t>
      </w:r>
      <w:r w:rsidRPr="00746B53">
        <w:rPr>
          <w:color w:val="17365D"/>
        </w:rPr>
        <w:t>本法自中華民國一百十五年一月一日施行。</w:t>
      </w:r>
    </w:p>
    <w:p w14:paraId="632CB58A" w14:textId="77777777" w:rsidR="00431EEC" w:rsidRPr="00C01BC3" w:rsidRDefault="00431EEC" w:rsidP="00360C9D">
      <w:pPr>
        <w:ind w:left="142"/>
        <w:jc w:val="both"/>
        <w:rPr>
          <w:rFonts w:ascii="Arial Unicode MS" w:hAnsi="Arial Unicode MS"/>
          <w:color w:val="17365D"/>
        </w:rPr>
      </w:pPr>
    </w:p>
    <w:p w14:paraId="31247D6C" w14:textId="77777777" w:rsidR="00431EEC" w:rsidRPr="00D244FB" w:rsidRDefault="00431EEC"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5"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89A3" w14:textId="77777777" w:rsidR="00AA4830" w:rsidRDefault="00AA4830">
      <w:r>
        <w:separator/>
      </w:r>
    </w:p>
  </w:endnote>
  <w:endnote w:type="continuationSeparator" w:id="0">
    <w:p w14:paraId="263566E4" w14:textId="77777777" w:rsidR="00AA4830" w:rsidRDefault="00AA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91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561FD8F3"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EA2D6E" w:rsidRPr="00EA2D6E">
      <w:rPr>
        <w:rFonts w:ascii="Arial Unicode MS" w:hAnsi="Arial Unicode MS" w:hint="eastAsia"/>
        <w:color w:val="000000"/>
        <w:sz w:val="18"/>
        <w:szCs w:val="24"/>
      </w:rPr>
      <w:t>壯世代政策與產業發展促進法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91E" w14:textId="77777777" w:rsidR="00AA4830" w:rsidRDefault="00AA4830">
      <w:r>
        <w:separator/>
      </w:r>
    </w:p>
  </w:footnote>
  <w:footnote w:type="continuationSeparator" w:id="0">
    <w:p w14:paraId="7EC3554A" w14:textId="77777777" w:rsidR="00AA4830" w:rsidRDefault="00AA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7879"/>
    <w:rsid w:val="00090636"/>
    <w:rsid w:val="000A7115"/>
    <w:rsid w:val="000C1DAC"/>
    <w:rsid w:val="000D31F2"/>
    <w:rsid w:val="000D710E"/>
    <w:rsid w:val="000D7583"/>
    <w:rsid w:val="000E5F6B"/>
    <w:rsid w:val="00100662"/>
    <w:rsid w:val="0012255A"/>
    <w:rsid w:val="00132A11"/>
    <w:rsid w:val="001415EF"/>
    <w:rsid w:val="00143B85"/>
    <w:rsid w:val="00151F81"/>
    <w:rsid w:val="001662B2"/>
    <w:rsid w:val="001668E9"/>
    <w:rsid w:val="00173A16"/>
    <w:rsid w:val="00177095"/>
    <w:rsid w:val="00190A5C"/>
    <w:rsid w:val="001A49BA"/>
    <w:rsid w:val="001A7DEB"/>
    <w:rsid w:val="001C258B"/>
    <w:rsid w:val="001D6830"/>
    <w:rsid w:val="001E4EAE"/>
    <w:rsid w:val="001F4C97"/>
    <w:rsid w:val="00222E53"/>
    <w:rsid w:val="002275F3"/>
    <w:rsid w:val="0024136E"/>
    <w:rsid w:val="00241BBE"/>
    <w:rsid w:val="00247468"/>
    <w:rsid w:val="00260074"/>
    <w:rsid w:val="002614EA"/>
    <w:rsid w:val="002629B3"/>
    <w:rsid w:val="0028505A"/>
    <w:rsid w:val="002B4B9C"/>
    <w:rsid w:val="002B565A"/>
    <w:rsid w:val="002E3B23"/>
    <w:rsid w:val="002E6DCE"/>
    <w:rsid w:val="002F2A51"/>
    <w:rsid w:val="002F5997"/>
    <w:rsid w:val="0031479F"/>
    <w:rsid w:val="00316FDB"/>
    <w:rsid w:val="003222AE"/>
    <w:rsid w:val="00322A95"/>
    <w:rsid w:val="00347E94"/>
    <w:rsid w:val="003555EC"/>
    <w:rsid w:val="00356810"/>
    <w:rsid w:val="00360C9D"/>
    <w:rsid w:val="003701DD"/>
    <w:rsid w:val="00373827"/>
    <w:rsid w:val="00381C40"/>
    <w:rsid w:val="003B13F3"/>
    <w:rsid w:val="003B4B59"/>
    <w:rsid w:val="003D35D6"/>
    <w:rsid w:val="003E3D75"/>
    <w:rsid w:val="003E7006"/>
    <w:rsid w:val="003F75CC"/>
    <w:rsid w:val="00400A90"/>
    <w:rsid w:val="00411C6D"/>
    <w:rsid w:val="00431EEC"/>
    <w:rsid w:val="004339F1"/>
    <w:rsid w:val="004457D2"/>
    <w:rsid w:val="0045269A"/>
    <w:rsid w:val="00452F61"/>
    <w:rsid w:val="00494A3E"/>
    <w:rsid w:val="004A0CC8"/>
    <w:rsid w:val="004B52A7"/>
    <w:rsid w:val="004B666F"/>
    <w:rsid w:val="004D1AE3"/>
    <w:rsid w:val="004D26F5"/>
    <w:rsid w:val="004D590E"/>
    <w:rsid w:val="004E21D2"/>
    <w:rsid w:val="004F73FB"/>
    <w:rsid w:val="005004A3"/>
    <w:rsid w:val="005075C1"/>
    <w:rsid w:val="005360FE"/>
    <w:rsid w:val="00561FD3"/>
    <w:rsid w:val="00565C88"/>
    <w:rsid w:val="00567A84"/>
    <w:rsid w:val="00570166"/>
    <w:rsid w:val="005805AB"/>
    <w:rsid w:val="00587BCC"/>
    <w:rsid w:val="0059434D"/>
    <w:rsid w:val="005A3BDD"/>
    <w:rsid w:val="005C7F6E"/>
    <w:rsid w:val="005C7F8A"/>
    <w:rsid w:val="005C7FF0"/>
    <w:rsid w:val="005F4657"/>
    <w:rsid w:val="006179E0"/>
    <w:rsid w:val="006250A0"/>
    <w:rsid w:val="006254EE"/>
    <w:rsid w:val="0063000B"/>
    <w:rsid w:val="00632BB0"/>
    <w:rsid w:val="006631DB"/>
    <w:rsid w:val="00664DFB"/>
    <w:rsid w:val="00683312"/>
    <w:rsid w:val="006A0BBF"/>
    <w:rsid w:val="006A2BCA"/>
    <w:rsid w:val="006A4941"/>
    <w:rsid w:val="006B2AE3"/>
    <w:rsid w:val="006D0623"/>
    <w:rsid w:val="006D72FF"/>
    <w:rsid w:val="006E01BF"/>
    <w:rsid w:val="006E3BC0"/>
    <w:rsid w:val="006E705F"/>
    <w:rsid w:val="006F00F5"/>
    <w:rsid w:val="00703E61"/>
    <w:rsid w:val="007043B6"/>
    <w:rsid w:val="00707A19"/>
    <w:rsid w:val="007307BD"/>
    <w:rsid w:val="00733D34"/>
    <w:rsid w:val="00746B53"/>
    <w:rsid w:val="00755DE6"/>
    <w:rsid w:val="007720A1"/>
    <w:rsid w:val="00787B46"/>
    <w:rsid w:val="007B4E78"/>
    <w:rsid w:val="007B5269"/>
    <w:rsid w:val="007C5BAB"/>
    <w:rsid w:val="007D21FB"/>
    <w:rsid w:val="007D7E8D"/>
    <w:rsid w:val="007F3639"/>
    <w:rsid w:val="00827B05"/>
    <w:rsid w:val="0083757D"/>
    <w:rsid w:val="00845988"/>
    <w:rsid w:val="00847FDF"/>
    <w:rsid w:val="008B03F1"/>
    <w:rsid w:val="008B5BAE"/>
    <w:rsid w:val="008C1688"/>
    <w:rsid w:val="008C4620"/>
    <w:rsid w:val="008C7018"/>
    <w:rsid w:val="008D7AA9"/>
    <w:rsid w:val="008E5159"/>
    <w:rsid w:val="0091420B"/>
    <w:rsid w:val="0091603F"/>
    <w:rsid w:val="0092581B"/>
    <w:rsid w:val="00931235"/>
    <w:rsid w:val="0095145E"/>
    <w:rsid w:val="00956013"/>
    <w:rsid w:val="009612D7"/>
    <w:rsid w:val="009758FD"/>
    <w:rsid w:val="0099154E"/>
    <w:rsid w:val="00991F3F"/>
    <w:rsid w:val="00995A2A"/>
    <w:rsid w:val="009D286B"/>
    <w:rsid w:val="009D54F3"/>
    <w:rsid w:val="009E0895"/>
    <w:rsid w:val="00A276FD"/>
    <w:rsid w:val="00A43518"/>
    <w:rsid w:val="00A47A95"/>
    <w:rsid w:val="00A51BA6"/>
    <w:rsid w:val="00A5787E"/>
    <w:rsid w:val="00A6011A"/>
    <w:rsid w:val="00A63811"/>
    <w:rsid w:val="00A65192"/>
    <w:rsid w:val="00A71C27"/>
    <w:rsid w:val="00A71EEA"/>
    <w:rsid w:val="00A74392"/>
    <w:rsid w:val="00A83EB0"/>
    <w:rsid w:val="00AA4830"/>
    <w:rsid w:val="00AB3534"/>
    <w:rsid w:val="00AD52B5"/>
    <w:rsid w:val="00AF1681"/>
    <w:rsid w:val="00AF2E81"/>
    <w:rsid w:val="00AF6DDB"/>
    <w:rsid w:val="00B27F2D"/>
    <w:rsid w:val="00B51635"/>
    <w:rsid w:val="00B61B2E"/>
    <w:rsid w:val="00B61C25"/>
    <w:rsid w:val="00B61EA2"/>
    <w:rsid w:val="00B734E4"/>
    <w:rsid w:val="00BA360D"/>
    <w:rsid w:val="00BA76F9"/>
    <w:rsid w:val="00BB31DC"/>
    <w:rsid w:val="00BC2A52"/>
    <w:rsid w:val="00BC70EF"/>
    <w:rsid w:val="00BF26BB"/>
    <w:rsid w:val="00C01BC3"/>
    <w:rsid w:val="00C30DB5"/>
    <w:rsid w:val="00C357DC"/>
    <w:rsid w:val="00C358A8"/>
    <w:rsid w:val="00C42B4D"/>
    <w:rsid w:val="00C50466"/>
    <w:rsid w:val="00C601BF"/>
    <w:rsid w:val="00C812BD"/>
    <w:rsid w:val="00C83397"/>
    <w:rsid w:val="00CF0155"/>
    <w:rsid w:val="00CF6027"/>
    <w:rsid w:val="00D01E90"/>
    <w:rsid w:val="00D027CD"/>
    <w:rsid w:val="00D046B8"/>
    <w:rsid w:val="00D2412B"/>
    <w:rsid w:val="00D244FB"/>
    <w:rsid w:val="00D2753B"/>
    <w:rsid w:val="00D27DEA"/>
    <w:rsid w:val="00D36745"/>
    <w:rsid w:val="00D36C72"/>
    <w:rsid w:val="00D409E5"/>
    <w:rsid w:val="00D66E62"/>
    <w:rsid w:val="00D81359"/>
    <w:rsid w:val="00DD42DD"/>
    <w:rsid w:val="00DE0054"/>
    <w:rsid w:val="00E1179A"/>
    <w:rsid w:val="00E13A0E"/>
    <w:rsid w:val="00E14831"/>
    <w:rsid w:val="00E31347"/>
    <w:rsid w:val="00E3177E"/>
    <w:rsid w:val="00E44D88"/>
    <w:rsid w:val="00E623BE"/>
    <w:rsid w:val="00E678EC"/>
    <w:rsid w:val="00E718BD"/>
    <w:rsid w:val="00E81351"/>
    <w:rsid w:val="00E94405"/>
    <w:rsid w:val="00E94B1F"/>
    <w:rsid w:val="00EA20E9"/>
    <w:rsid w:val="00EA2D6E"/>
    <w:rsid w:val="00EB2BDE"/>
    <w:rsid w:val="00EB52F5"/>
    <w:rsid w:val="00EC1889"/>
    <w:rsid w:val="00EC1B72"/>
    <w:rsid w:val="00EF5442"/>
    <w:rsid w:val="00F126D7"/>
    <w:rsid w:val="00F147DB"/>
    <w:rsid w:val="00F2026D"/>
    <w:rsid w:val="00F26B7D"/>
    <w:rsid w:val="00F3421C"/>
    <w:rsid w:val="00F43973"/>
    <w:rsid w:val="00F602E3"/>
    <w:rsid w:val="00F70246"/>
    <w:rsid w:val="00F73000"/>
    <w:rsid w:val="00F82645"/>
    <w:rsid w:val="00F83891"/>
    <w:rsid w:val="00F8619D"/>
    <w:rsid w:val="00F95B90"/>
    <w:rsid w:val="00FB046E"/>
    <w:rsid w:val="00FB3689"/>
    <w:rsid w:val="00FB4009"/>
    <w:rsid w:val="00FC1724"/>
    <w:rsid w:val="00FC5363"/>
    <w:rsid w:val="00FD4175"/>
    <w:rsid w:val="00FE1465"/>
    <w:rsid w:val="00FE3136"/>
    <w:rsid w:val="00FE7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746B53"/>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746B53"/>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 w:type="character" w:customStyle="1" w:styleId="10">
    <w:name w:val="標題 1 字元"/>
    <w:basedOn w:val="a0"/>
    <w:link w:val="1"/>
    <w:uiPriority w:val="9"/>
    <w:rsid w:val="00746B53"/>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0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XXXXX.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aw5/&#22767;&#19990;&#20195;&#25919;&#31574;&#33287;&#29986;&#26989;&#30332;&#23637;&#20419;&#36914;&#2786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http://www.facebook.com/anita6l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ndc.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20-%20&#35079;&#35069;.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Normal113 - 複製.dotm</Template>
  <TotalTime>9</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壯世代政策與產業發展促進法</dc:title>
  <dc:creator>S-link 電子六法-黃婉玲</dc:creator>
  <cp:lastModifiedBy>黃 6laws</cp:lastModifiedBy>
  <cp:revision>10</cp:revision>
  <dcterms:created xsi:type="dcterms:W3CDTF">2025-01-31T05:56:00Z</dcterms:created>
  <dcterms:modified xsi:type="dcterms:W3CDTF">2025-01-31T06:08:00Z</dcterms:modified>
</cp:coreProperties>
</file>