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827" w:rsidRDefault="00733D34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drawing>
          <wp:inline distT="0" distB="0" distL="0" distR="0">
            <wp:extent cx="505460" cy="464185"/>
            <wp:effectExtent l="0" t="0" r="8890" b="0"/>
            <wp:docPr id="1" name="圖片 1" descr="6lawr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6law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452F61">
        <w:rPr>
          <w:rFonts w:ascii="Arial Unicode MS" w:hAnsi="Arial Unicode MS"/>
          <w:color w:val="7F7F7F"/>
          <w:sz w:val="18"/>
          <w:szCs w:val="20"/>
        </w:rPr>
        <w:t>2018/11/28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1" w:history="1"/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:rsidTr="00247E4D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703E61" w:rsidRDefault="005B74E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5B74EE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教育部所屬機構作業基金設置條例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63BEA" w:rsidRPr="002E59EF" w:rsidRDefault="00E3177E" w:rsidP="00263BEA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263BEA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263BEA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263BEA">
              <w:rPr>
                <w:rFonts w:ascii="Arial Unicode MS" w:hAnsi="Arial Unicode MS"/>
                <w:color w:val="990000"/>
              </w:rPr>
              <w:t>7</w:t>
            </w:r>
            <w:r w:rsidR="00263BEA" w:rsidRPr="002E59EF">
              <w:rPr>
                <w:rFonts w:ascii="Arial Unicode MS" w:hAnsi="Arial Unicode MS"/>
                <w:color w:val="990000"/>
              </w:rPr>
              <w:t>年</w:t>
            </w:r>
            <w:r w:rsidR="00263BEA">
              <w:rPr>
                <w:rFonts w:ascii="Arial Unicode MS" w:hAnsi="Arial Unicode MS" w:hint="eastAsia"/>
                <w:color w:val="990000"/>
              </w:rPr>
              <w:t>11</w:t>
            </w:r>
            <w:r w:rsidR="00263BEA" w:rsidRPr="002E59EF">
              <w:rPr>
                <w:rFonts w:ascii="Arial Unicode MS" w:hAnsi="Arial Unicode MS"/>
                <w:color w:val="990000"/>
              </w:rPr>
              <w:t>月</w:t>
            </w:r>
            <w:r w:rsidR="00263BEA">
              <w:rPr>
                <w:rFonts w:ascii="Arial Unicode MS" w:hAnsi="Arial Unicode MS"/>
                <w:color w:val="990000"/>
              </w:rPr>
              <w:t>9</w:t>
            </w:r>
            <w:r w:rsidR="00263BEA"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263BEA" w:rsidP="00263BEA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Pr="002E59EF">
              <w:rPr>
                <w:rFonts w:ascii="Arial Unicode MS" w:hAnsi="Arial Unicode MS" w:hint="eastAsia"/>
                <w:color w:val="990000"/>
              </w:rPr>
              <w:t>10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2E59EF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 w:hint="eastAsia"/>
                <w:color w:val="990000"/>
              </w:rPr>
              <w:t>11</w:t>
            </w:r>
            <w:r w:rsidRPr="002E59EF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28</w:t>
            </w:r>
            <w:r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3" w:anchor="教育部所屬機構作業基金設置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4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:rsidR="00A6011A" w:rsidRPr="00E623BE" w:rsidRDefault="00F43973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6152A6" w:rsidRPr="006152A6">
        <w:rPr>
          <w:rFonts w:ascii="Arial Unicode MS" w:hAnsi="Arial Unicode MS" w:hint="eastAsia"/>
          <w:bCs/>
          <w:color w:val="666699"/>
          <w:sz w:val="18"/>
        </w:rPr>
        <w:t>中華民國一百零七年十一月二十八日總統華總一義字第</w:t>
      </w:r>
      <w:r w:rsidR="006152A6" w:rsidRPr="006152A6">
        <w:rPr>
          <w:rFonts w:ascii="Arial Unicode MS" w:hAnsi="Arial Unicode MS" w:hint="eastAsia"/>
          <w:bCs/>
          <w:color w:val="666699"/>
          <w:sz w:val="18"/>
        </w:rPr>
        <w:t>10700127991</w:t>
      </w:r>
      <w:r w:rsidR="006152A6" w:rsidRPr="006152A6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6152A6" w:rsidRPr="006152A6">
        <w:rPr>
          <w:rFonts w:ascii="Arial Unicode MS" w:hAnsi="Arial Unicode MS" w:hint="eastAsia"/>
          <w:bCs/>
          <w:color w:val="666699"/>
          <w:sz w:val="18"/>
        </w:rPr>
        <w:t>13</w:t>
      </w:r>
      <w:r w:rsidR="006152A6" w:rsidRPr="006152A6">
        <w:rPr>
          <w:rFonts w:ascii="Arial Unicode MS" w:hAnsi="Arial Unicode MS" w:hint="eastAsia"/>
          <w:bCs/>
          <w:color w:val="666699"/>
          <w:sz w:val="18"/>
        </w:rPr>
        <w:t>條；並自公布日施行</w:t>
      </w:r>
    </w:p>
    <w:p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  <w:bookmarkStart w:id="1" w:name="_GoBack"/>
      <w:bookmarkEnd w:id="1"/>
    </w:p>
    <w:p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法規內容</w:t>
      </w:r>
      <w:r w:rsidRPr="00AF2E81">
        <w:rPr>
          <w:color w:val="990000"/>
        </w:rPr>
        <w:t>】</w:t>
      </w:r>
    </w:p>
    <w:p w:rsidR="005B74EE" w:rsidRDefault="005B74EE" w:rsidP="0063026B">
      <w:pPr>
        <w:pStyle w:val="2"/>
        <w:jc w:val="both"/>
      </w:pPr>
      <w:bookmarkStart w:id="2" w:name="a1"/>
      <w:bookmarkEnd w:id="2"/>
      <w:r>
        <w:t>第</w:t>
      </w:r>
      <w:r>
        <w:t>1</w:t>
      </w:r>
      <w:r>
        <w:t>條（立法目的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教育部為因應所屬機構發展趨勢，提升社會教育及教育研究品質，增進財務經營管理之能力，設置教育部所屬機構作業基金（以下簡稱本基金），特制定本條例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3" w:name="a2"/>
      <w:bookmarkEnd w:id="3"/>
      <w:r>
        <w:t>第</w:t>
      </w:r>
      <w:r>
        <w:t>2</w:t>
      </w:r>
      <w:r>
        <w:t>條（作業基金之屬性及主管機關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本基金屬預算法</w:t>
      </w:r>
      <w:hyperlink r:id="rId15" w:anchor="a4" w:history="1">
        <w:r w:rsidRPr="00340ACD">
          <w:rPr>
            <w:rStyle w:val="a3"/>
            <w:rFonts w:ascii="Times New Roman" w:hAnsi="Times New Roman"/>
          </w:rPr>
          <w:t>第四條</w:t>
        </w:r>
      </w:hyperlink>
      <w:r>
        <w:rPr>
          <w:color w:val="17365D"/>
        </w:rPr>
        <w:t>第一項第二款所定之特種基金，編製附屬單位預算；下設納入本基金之各機構作業基金，編製附屬單位預算之分預算</w:t>
      </w:r>
      <w:r>
        <w:rPr>
          <w:color w:val="17365D"/>
        </w:rPr>
        <w:t>。</w:t>
      </w:r>
    </w:p>
    <w:p w:rsidR="005B74EE" w:rsidRPr="0063026B" w:rsidRDefault="005B74EE" w:rsidP="0063026B">
      <w:pPr>
        <w:ind w:left="142"/>
        <w:jc w:val="both"/>
        <w:rPr>
          <w:color w:val="666699"/>
        </w:rPr>
      </w:pPr>
      <w:r w:rsidRPr="0063026B">
        <w:rPr>
          <w:color w:val="666699"/>
        </w:rPr>
        <w:t xml:space="preserve">　　前項納入本基金之各機構作業基金，其自籌財源須達一定比率，始得依本條例之規定設置</w:t>
      </w:r>
      <w:r w:rsidRPr="0063026B">
        <w:rPr>
          <w:color w:val="666699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本基金以教育部為主管機關；納入本基金之各機構作業基金，以各該機構為管理機關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4" w:name="a3"/>
      <w:bookmarkEnd w:id="4"/>
      <w:r>
        <w:t>第</w:t>
      </w:r>
      <w:r>
        <w:t>3</w:t>
      </w:r>
      <w:r>
        <w:t>條（依本條例設置之機構，一切收支應納入各該機構作業基金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依本條例設置作業基金之機構，其一切收支均應納入各該機構作業基金，依法辦理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5" w:name="a4"/>
      <w:bookmarkEnd w:id="5"/>
      <w:r>
        <w:t>第</w:t>
      </w:r>
      <w:r>
        <w:t>4</w:t>
      </w:r>
      <w:r>
        <w:t>條（基金之來源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本基金之來源如下</w:t>
      </w:r>
      <w:r>
        <w:rPr>
          <w:color w:val="17365D"/>
        </w:rPr>
        <w:t>：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一、政府循預算程序之撥款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二、自籌收入，其項目如下</w:t>
      </w:r>
      <w:r>
        <w:rPr>
          <w:color w:val="17365D"/>
        </w:rPr>
        <w:t>：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（一）門票及銷售收入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（二）場地設備管理收入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（三）接受委託辦理之收入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（四）社會教育活動、相關體驗活動、推廣教育、研習及產學合作收入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（五）資產使用費、權利金及回饋金收入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（六）受贈收入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（七）孳息收入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（八）出版品及衍生商品收入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（九）其他收入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6" w:name="a5"/>
      <w:bookmarkEnd w:id="6"/>
      <w:r>
        <w:t>第</w:t>
      </w:r>
      <w:r>
        <w:t>5</w:t>
      </w:r>
      <w:r>
        <w:t>條（基金之用途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本基金之用途如下</w:t>
      </w:r>
      <w:r>
        <w:rPr>
          <w:color w:val="17365D"/>
        </w:rPr>
        <w:t>：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一、展示策劃及蒐藏支出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二、圖書資訊徵集、採編及閱覽支出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lastRenderedPageBreak/>
        <w:t xml:space="preserve">　　三、教學及研究發展支出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四、社會教育活動、相關體驗活動、推廣教育及產學合作支出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五、銷售支出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六、編制外人員人事支出，占自籌收入之比率由主管機關另定之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七、行銷支出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八、管理及總務支出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九、增置、擴充、改良資產支出</w:t>
      </w:r>
      <w:r>
        <w:rPr>
          <w:color w:val="17365D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十、其他有關支出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7" w:name="a6"/>
      <w:bookmarkEnd w:id="7"/>
      <w:r>
        <w:t>第</w:t>
      </w:r>
      <w:r>
        <w:t>6</w:t>
      </w:r>
      <w:r>
        <w:t>條（基金之保管、運用及存儲相關規定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本基金之保管及運用應注重收益性及安全性，其存儲並應依公庫法及其相關法令規定辦理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8" w:name="a7"/>
      <w:bookmarkEnd w:id="8"/>
      <w:r>
        <w:t>第</w:t>
      </w:r>
      <w:r>
        <w:t>7</w:t>
      </w:r>
      <w:r>
        <w:t>條（基金因應業務需要得投資之範圍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本基金為應業務需要，得購買政府公債、國庫券或其他短期票券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9" w:name="a8"/>
      <w:bookmarkEnd w:id="9"/>
      <w:r>
        <w:t>第</w:t>
      </w:r>
      <w:r>
        <w:t>8</w:t>
      </w:r>
      <w:r>
        <w:t>條（基金受贈及投資取得之財產處理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本基金受贈之財產，除附有負擔者外，以各該機構為管理機關，教育部為主管機關，免依國有財產法第</w:t>
      </w:r>
      <w:hyperlink r:id="rId16" w:anchor="a37" w:history="1">
        <w:r w:rsidRPr="00340ACD">
          <w:rPr>
            <w:rStyle w:val="a3"/>
            <w:rFonts w:ascii="Times New Roman" w:hAnsi="Times New Roman"/>
          </w:rPr>
          <w:t>三十七</w:t>
        </w:r>
      </w:hyperlink>
      <w:r>
        <w:rPr>
          <w:color w:val="17365D"/>
        </w:rPr>
        <w:t>條規定辦理</w:t>
      </w:r>
      <w:r>
        <w:rPr>
          <w:color w:val="17365D"/>
        </w:rPr>
        <w:t>。</w:t>
      </w:r>
    </w:p>
    <w:p w:rsidR="005B74EE" w:rsidRPr="0063026B" w:rsidRDefault="005B74EE" w:rsidP="0063026B">
      <w:pPr>
        <w:ind w:left="142"/>
        <w:jc w:val="both"/>
        <w:rPr>
          <w:color w:val="666699"/>
        </w:rPr>
      </w:pPr>
      <w:r w:rsidRPr="0063026B">
        <w:rPr>
          <w:color w:val="666699"/>
        </w:rPr>
        <w:t xml:space="preserve">　　本基金受贈及投資取得之動產、有價證券及權利，得報經教育部同意予以處分，不受國有財產法第</w:t>
      </w:r>
      <w:hyperlink r:id="rId17" w:anchor="a28" w:history="1">
        <w:r w:rsidRPr="00340ACD">
          <w:rPr>
            <w:rStyle w:val="a3"/>
            <w:rFonts w:ascii="Times New Roman" w:hAnsi="Times New Roman"/>
          </w:rPr>
          <w:t>二十八</w:t>
        </w:r>
      </w:hyperlink>
      <w:r w:rsidRPr="0063026B">
        <w:rPr>
          <w:color w:val="666699"/>
        </w:rPr>
        <w:t>條規定之限制</w:t>
      </w:r>
      <w:r w:rsidRPr="0063026B">
        <w:rPr>
          <w:color w:val="666699"/>
        </w:rPr>
        <w:t>。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前項有價證券出售，應依證券交易相關法令規定辦理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10" w:name="a9"/>
      <w:bookmarkEnd w:id="10"/>
      <w:r>
        <w:t>第</w:t>
      </w:r>
      <w:r>
        <w:t>9</w:t>
      </w:r>
      <w:r>
        <w:t>條（基金會計事務之處理依據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本基金會計事務之處理，由教育部統一訂定會計制度，供依本條例設置作業基金之機構據以辦理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11" w:name="a10"/>
      <w:bookmarkEnd w:id="11"/>
      <w:r>
        <w:t>第</w:t>
      </w:r>
      <w:r>
        <w:t>10</w:t>
      </w:r>
      <w:r>
        <w:t>條（基金年度決算賸餘之處理方式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本基金年度決算如有賸餘，應依規定辦理分配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12" w:name="a11"/>
      <w:bookmarkEnd w:id="12"/>
      <w:r>
        <w:t>第</w:t>
      </w:r>
      <w:r>
        <w:t>11</w:t>
      </w:r>
      <w:r>
        <w:t>條（基金之年度預算、決算及會計事務處理依據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本基金年度預算之編製與執行及決算編造，應依</w:t>
      </w:r>
      <w:hyperlink r:id="rId18" w:history="1">
        <w:r w:rsidRPr="00EC35B7">
          <w:rPr>
            <w:rStyle w:val="a3"/>
            <w:rFonts w:ascii="Times New Roman" w:hAnsi="Times New Roman"/>
          </w:rPr>
          <w:t>預算法</w:t>
        </w:r>
      </w:hyperlink>
      <w:r>
        <w:rPr>
          <w:color w:val="17365D"/>
        </w:rPr>
        <w:t>、</w:t>
      </w:r>
      <w:hyperlink r:id="rId19" w:history="1">
        <w:r w:rsidRPr="00EC35B7">
          <w:rPr>
            <w:rStyle w:val="a3"/>
            <w:rFonts w:ascii="Times New Roman" w:hAnsi="Times New Roman"/>
          </w:rPr>
          <w:t>會計法</w:t>
        </w:r>
      </w:hyperlink>
      <w:r>
        <w:rPr>
          <w:color w:val="17365D"/>
        </w:rPr>
        <w:t>、</w:t>
      </w:r>
      <w:hyperlink r:id="rId20" w:history="1">
        <w:r w:rsidRPr="00EC35B7">
          <w:rPr>
            <w:rStyle w:val="a3"/>
            <w:rFonts w:ascii="Times New Roman" w:hAnsi="Times New Roman"/>
          </w:rPr>
          <w:t>決算法</w:t>
        </w:r>
      </w:hyperlink>
      <w:r>
        <w:rPr>
          <w:color w:val="17365D"/>
        </w:rPr>
        <w:t>、</w:t>
      </w:r>
      <w:hyperlink r:id="rId21" w:history="1">
        <w:r w:rsidRPr="00EC35B7">
          <w:rPr>
            <w:rStyle w:val="a3"/>
            <w:rFonts w:ascii="Times New Roman" w:hAnsi="Times New Roman"/>
          </w:rPr>
          <w:t>審計法</w:t>
        </w:r>
      </w:hyperlink>
      <w:r>
        <w:rPr>
          <w:color w:val="17365D"/>
        </w:rPr>
        <w:t>及相關法令規定辦理</w:t>
      </w:r>
      <w:r>
        <w:rPr>
          <w:color w:val="17365D"/>
        </w:rPr>
        <w:t>。</w:t>
      </w:r>
    </w:p>
    <w:p w:rsidR="005B74EE" w:rsidRDefault="005B74EE" w:rsidP="0063026B">
      <w:pPr>
        <w:pStyle w:val="2"/>
        <w:jc w:val="both"/>
      </w:pPr>
      <w:bookmarkStart w:id="13" w:name="a12"/>
      <w:bookmarkEnd w:id="13"/>
      <w:r>
        <w:t>第</w:t>
      </w:r>
      <w:r>
        <w:t>12</w:t>
      </w:r>
      <w:r>
        <w:t>條（基金結束之處理方式</w:t>
      </w:r>
      <w:r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本基金結束時，應予結算，其餘存權益應解繳國庫</w:t>
      </w:r>
      <w:r>
        <w:rPr>
          <w:color w:val="17365D"/>
        </w:rPr>
        <w:t>。</w:t>
      </w:r>
    </w:p>
    <w:p w:rsidR="005B74EE" w:rsidRPr="005B74EE" w:rsidRDefault="005B74EE" w:rsidP="0063026B">
      <w:pPr>
        <w:pStyle w:val="2"/>
        <w:jc w:val="both"/>
      </w:pPr>
      <w:bookmarkStart w:id="14" w:name="a13"/>
      <w:bookmarkEnd w:id="14"/>
      <w:r w:rsidRPr="005B74EE">
        <w:t>第</w:t>
      </w:r>
      <w:r w:rsidRPr="005B74EE">
        <w:t>13</w:t>
      </w:r>
      <w:r w:rsidRPr="005B74EE">
        <w:t>條（施行日</w:t>
      </w:r>
      <w:r w:rsidRPr="005B74EE">
        <w:t>）</w:t>
      </w:r>
    </w:p>
    <w:p w:rsidR="005B74EE" w:rsidRDefault="005B74EE" w:rsidP="0063026B">
      <w:pPr>
        <w:ind w:left="142"/>
        <w:jc w:val="both"/>
        <w:rPr>
          <w:color w:val="17365D"/>
        </w:rPr>
      </w:pPr>
      <w:r>
        <w:rPr>
          <w:color w:val="17365D"/>
        </w:rPr>
        <w:t xml:space="preserve">　　本條例自公布日施行</w:t>
      </w:r>
      <w:r>
        <w:rPr>
          <w:color w:val="17365D"/>
        </w:rPr>
        <w:t>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【編註】本檔法規資料以</w:t>
      </w:r>
      <w:r w:rsidRPr="003D460F">
        <w:rPr>
          <w:rFonts w:hint="eastAsia"/>
          <w:color w:val="5F5F5F"/>
          <w:sz w:val="18"/>
          <w:szCs w:val="18"/>
          <w:lang w:eastAsia="zh-HK"/>
        </w:rPr>
        <w:t>官方</w:t>
      </w:r>
      <w:r w:rsidRPr="003D460F">
        <w:rPr>
          <w:rFonts w:hint="eastAsia"/>
          <w:color w:val="5F5F5F"/>
          <w:sz w:val="18"/>
          <w:szCs w:val="18"/>
        </w:rPr>
        <w:t>資訊網為依據；本文僅供參考，如需引用請以正式檔為準。如有發現待更正部份及您所需本站未收編之法規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2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1E6" w:rsidRDefault="007161E6">
      <w:r>
        <w:separator/>
      </w:r>
    </w:p>
  </w:endnote>
  <w:endnote w:type="continuationSeparator" w:id="0">
    <w:p w:rsidR="007161E6" w:rsidRDefault="0071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340ACD" w:rsidRPr="00340ACD">
      <w:rPr>
        <w:rFonts w:ascii="Arial Unicode MS" w:hAnsi="Arial Unicode MS" w:hint="eastAsia"/>
        <w:color w:val="000000"/>
        <w:sz w:val="18"/>
        <w:szCs w:val="24"/>
      </w:rPr>
      <w:t>教育部所屬機構作業基金設置條例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1E6" w:rsidRDefault="007161E6">
      <w:r>
        <w:separator/>
      </w:r>
    </w:p>
  </w:footnote>
  <w:footnote w:type="continuationSeparator" w:id="0">
    <w:p w:rsidR="007161E6" w:rsidRDefault="00716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10878"/>
    <w:rsid w:val="00031E5B"/>
    <w:rsid w:val="0003470A"/>
    <w:rsid w:val="00037674"/>
    <w:rsid w:val="00041F63"/>
    <w:rsid w:val="000443FD"/>
    <w:rsid w:val="00051407"/>
    <w:rsid w:val="0006505D"/>
    <w:rsid w:val="0007318D"/>
    <w:rsid w:val="00087879"/>
    <w:rsid w:val="000A7115"/>
    <w:rsid w:val="000C1DAC"/>
    <w:rsid w:val="000D31F2"/>
    <w:rsid w:val="000D710E"/>
    <w:rsid w:val="000D7583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D6830"/>
    <w:rsid w:val="001E4EAE"/>
    <w:rsid w:val="001F4C97"/>
    <w:rsid w:val="00222E53"/>
    <w:rsid w:val="002275F3"/>
    <w:rsid w:val="0024136E"/>
    <w:rsid w:val="00241BBE"/>
    <w:rsid w:val="00247E4D"/>
    <w:rsid w:val="00260074"/>
    <w:rsid w:val="002614EA"/>
    <w:rsid w:val="00263BEA"/>
    <w:rsid w:val="002B4B9C"/>
    <w:rsid w:val="002B565A"/>
    <w:rsid w:val="002E3B23"/>
    <w:rsid w:val="002E6DCE"/>
    <w:rsid w:val="002F5997"/>
    <w:rsid w:val="0031479F"/>
    <w:rsid w:val="00316FDB"/>
    <w:rsid w:val="003222AE"/>
    <w:rsid w:val="00322A95"/>
    <w:rsid w:val="00340ACD"/>
    <w:rsid w:val="00347E94"/>
    <w:rsid w:val="003555EC"/>
    <w:rsid w:val="00356810"/>
    <w:rsid w:val="00360C9D"/>
    <w:rsid w:val="003701DD"/>
    <w:rsid w:val="00373827"/>
    <w:rsid w:val="00381C40"/>
    <w:rsid w:val="003A5C9A"/>
    <w:rsid w:val="003B13F3"/>
    <w:rsid w:val="003D35D6"/>
    <w:rsid w:val="003E3D75"/>
    <w:rsid w:val="003F75CC"/>
    <w:rsid w:val="00411C6D"/>
    <w:rsid w:val="00431EEC"/>
    <w:rsid w:val="004339F1"/>
    <w:rsid w:val="004457D2"/>
    <w:rsid w:val="00452F61"/>
    <w:rsid w:val="00494A3E"/>
    <w:rsid w:val="004A0CC8"/>
    <w:rsid w:val="004B52A7"/>
    <w:rsid w:val="004B666F"/>
    <w:rsid w:val="004D1AE3"/>
    <w:rsid w:val="004D590E"/>
    <w:rsid w:val="004E21D2"/>
    <w:rsid w:val="004F73FB"/>
    <w:rsid w:val="005004A3"/>
    <w:rsid w:val="005075C1"/>
    <w:rsid w:val="005360FE"/>
    <w:rsid w:val="00561FD3"/>
    <w:rsid w:val="00565C88"/>
    <w:rsid w:val="00567A84"/>
    <w:rsid w:val="00570166"/>
    <w:rsid w:val="005805AB"/>
    <w:rsid w:val="00587BCC"/>
    <w:rsid w:val="005A3BDD"/>
    <w:rsid w:val="005B74EE"/>
    <w:rsid w:val="005C7F6E"/>
    <w:rsid w:val="005C7F8A"/>
    <w:rsid w:val="005F4657"/>
    <w:rsid w:val="00603A1C"/>
    <w:rsid w:val="006152A6"/>
    <w:rsid w:val="006250A0"/>
    <w:rsid w:val="006254EE"/>
    <w:rsid w:val="0063000B"/>
    <w:rsid w:val="0063026B"/>
    <w:rsid w:val="00632BB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161E6"/>
    <w:rsid w:val="007307BD"/>
    <w:rsid w:val="00733D34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31235"/>
    <w:rsid w:val="0095145E"/>
    <w:rsid w:val="00956013"/>
    <w:rsid w:val="009612D7"/>
    <w:rsid w:val="009758FD"/>
    <w:rsid w:val="0099154E"/>
    <w:rsid w:val="00991F3F"/>
    <w:rsid w:val="00995A2A"/>
    <w:rsid w:val="009B53D9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51635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01BC3"/>
    <w:rsid w:val="00C30DB5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E13A0E"/>
    <w:rsid w:val="00E31347"/>
    <w:rsid w:val="00E3177E"/>
    <w:rsid w:val="00E44D88"/>
    <w:rsid w:val="00E623BE"/>
    <w:rsid w:val="00E678EC"/>
    <w:rsid w:val="00E718BD"/>
    <w:rsid w:val="00E81351"/>
    <w:rsid w:val="00E87C16"/>
    <w:rsid w:val="00E94405"/>
    <w:rsid w:val="00E94B1F"/>
    <w:rsid w:val="00EB2BDE"/>
    <w:rsid w:val="00EB52F5"/>
    <w:rsid w:val="00EC1889"/>
    <w:rsid w:val="00EC1B72"/>
    <w:rsid w:val="00EC35B7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5B74EE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5B74EE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340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&#38928;&#31639;&#27861;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&#23529;&#35336;&#27861;.docx" TargetMode="External"/><Relationship Id="rId7" Type="http://schemas.openxmlformats.org/officeDocument/2006/relationships/hyperlink" Target="http://www.6law.idv.tw/" TargetMode="External"/><Relationship Id="rId12" Type="http://schemas.openxmlformats.org/officeDocument/2006/relationships/hyperlink" Target="http://www.6law.idv.tw/" TargetMode="External"/><Relationship Id="rId17" Type="http://schemas.openxmlformats.org/officeDocument/2006/relationships/hyperlink" Target="&#22283;&#26377;&#36001;&#29986;&#27861;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&#22283;&#26377;&#36001;&#29986;&#27861;.docx" TargetMode="External"/><Relationship Id="rId20" Type="http://schemas.openxmlformats.org/officeDocument/2006/relationships/hyperlink" Target="&#27770;&#31639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law.idv.tw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&#38928;&#31639;&#27861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&#26371;&#35336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law.idv.tw/update.htm" TargetMode="External"/><Relationship Id="rId14" Type="http://schemas.openxmlformats.org/officeDocument/2006/relationships/hyperlink" Target="http://www.6law.idv.tw/6law/law/&#25945;&#32946;&#37096;&#25152;&#23660;&#27231;&#27083;&#20316;&#26989;&#22522;&#37329;&#35373;&#32622;&#26781;&#20363;.htm" TargetMode="External"/><Relationship Id="rId22" Type="http://schemas.openxmlformats.org/officeDocument/2006/relationships/hyperlink" Target="http://www.6law.idv.tw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Normal11.dotm</Template>
  <TotalTime>21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教育部所屬機構作業基金設置條例</dc:title>
  <dc:creator>S-link 電子六法-黃婉玲</dc:creator>
  <cp:lastModifiedBy>黃婉玲 S-link電子六法</cp:lastModifiedBy>
  <cp:revision>12</cp:revision>
  <dcterms:created xsi:type="dcterms:W3CDTF">2018-11-28T05:51:00Z</dcterms:created>
  <dcterms:modified xsi:type="dcterms:W3CDTF">2018-11-28T12:15:00Z</dcterms:modified>
</cp:coreProperties>
</file>