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2932" w14:textId="355447D9" w:rsidR="00AE2862" w:rsidRDefault="00AE2862" w:rsidP="00AE2862">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1F08F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155B5BCD" w14:textId="75FF22E4" w:rsidR="00AE2862" w:rsidRDefault="00AE2862" w:rsidP="00AE2862">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bookmarkStart w:id="1" w:name="_Hlk20505798"/>
      <w:r w:rsidR="00FC0B37" w:rsidRPr="003317FC">
        <w:rPr>
          <w:rFonts w:cs="Segoe UI Emoji"/>
          <w:sz w:val="18"/>
        </w:rPr>
        <w:t>⏰</w:t>
      </w:r>
      <w:bookmarkEnd w:id="1"/>
      <w:r w:rsidR="00DA7C66" w:rsidRPr="00DA7C66">
        <w:rPr>
          <w:sz w:val="18"/>
        </w:rPr>
        <w:t>2025/4/5</w:t>
      </w:r>
      <w:r>
        <w:rPr>
          <w:rFonts w:hint="eastAsia"/>
          <w:color w:val="7F7F7F"/>
          <w:sz w:val="18"/>
          <w:szCs w:val="20"/>
          <w:lang w:val="zh-TW"/>
        </w:rPr>
        <w:t>【</w:t>
      </w:r>
      <w:hyperlink r:id="rId10" w:history="1">
        <w:r w:rsidRPr="00353C9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066F8B">
          <w:rPr>
            <w:rStyle w:val="a3"/>
            <w:sz w:val="18"/>
            <w:szCs w:val="20"/>
          </w:rPr>
          <w:t>黃婉玲</w:t>
        </w:r>
      </w:hyperlink>
    </w:p>
    <w:p w14:paraId="6CDD8C08" w14:textId="77777777" w:rsidR="00C26A6E" w:rsidRPr="00171E1D" w:rsidRDefault="00700943" w:rsidP="00AE2862">
      <w:pPr>
        <w:ind w:rightChars="-110" w:right="-264"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6B788F">
        <w:rPr>
          <w:rFonts w:hint="eastAsia"/>
          <w:color w:val="808000"/>
          <w:sz w:val="18"/>
          <w:szCs w:val="20"/>
        </w:rPr>
        <w:t>〉</w:t>
      </w:r>
      <w:r>
        <w:rPr>
          <w:rFonts w:hint="eastAsia"/>
          <w:color w:val="808000"/>
          <w:sz w:val="18"/>
          <w:szCs w:val="20"/>
        </w:rPr>
        <w:t>檢視</w:t>
      </w:r>
      <w:r>
        <w:rPr>
          <w:rFonts w:hint="eastAsia"/>
          <w:color w:val="808000"/>
          <w:sz w:val="18"/>
          <w:szCs w:val="20"/>
        </w:rPr>
        <w:t>--</w:t>
      </w:r>
      <w:r w:rsidR="006B788F">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69169F">
          <w:rPr>
            <w:rStyle w:val="a3"/>
            <w:rFonts w:ascii="Times New Roman" w:hAnsi="Times New Roman" w:hint="eastAsia"/>
            <w:sz w:val="18"/>
            <w:szCs w:val="20"/>
            <w:u w:val="none"/>
          </w:rPr>
          <w:t>功能窗格</w:t>
        </w:r>
      </w:hyperlink>
      <w:r>
        <w:rPr>
          <w:rFonts w:hint="eastAsia"/>
          <w:color w:val="808000"/>
          <w:sz w:val="18"/>
          <w:szCs w:val="20"/>
        </w:rPr>
        <w:t>）</w:t>
      </w:r>
    </w:p>
    <w:tbl>
      <w:tblPr>
        <w:tblW w:w="5136" w:type="pct"/>
        <w:tblCellSpacing w:w="0" w:type="dxa"/>
        <w:tblInd w:w="15" w:type="dxa"/>
        <w:tblCellMar>
          <w:left w:w="0" w:type="dxa"/>
          <w:right w:w="0" w:type="dxa"/>
        </w:tblCellMar>
        <w:tblLook w:val="0000" w:firstRow="0" w:lastRow="0" w:firstColumn="0" w:lastColumn="0" w:noHBand="0" w:noVBand="0"/>
      </w:tblPr>
      <w:tblGrid>
        <w:gridCol w:w="1262"/>
        <w:gridCol w:w="5201"/>
        <w:gridCol w:w="3728"/>
      </w:tblGrid>
      <w:tr w:rsidR="00C26A6E" w:rsidRPr="00171E1D" w14:paraId="1287730C" w14:textId="77777777" w:rsidTr="00863E7F">
        <w:trPr>
          <w:cantSplit/>
          <w:trHeight w:val="750"/>
          <w:tblCellSpacing w:w="0" w:type="dxa"/>
        </w:trPr>
        <w:tc>
          <w:tcPr>
            <w:tcW w:w="619" w:type="pct"/>
            <w:tcBorders>
              <w:top w:val="nil"/>
              <w:left w:val="nil"/>
              <w:bottom w:val="nil"/>
              <w:right w:val="nil"/>
            </w:tcBorders>
            <w:shd w:val="clear" w:color="auto" w:fill="CC3300"/>
            <w:vAlign w:val="center"/>
          </w:tcPr>
          <w:p w14:paraId="0A51F077" w14:textId="77777777" w:rsidR="00C26A6E" w:rsidRPr="00171E1D" w:rsidRDefault="00066F8B">
            <w:pPr>
              <w:ind w:leftChars="-6" w:left="-14"/>
              <w:jc w:val="center"/>
              <w:rPr>
                <w:rFonts w:ascii="Arial Unicode MS" w:hAnsi="Arial Unicode MS"/>
                <w:b/>
                <w:bCs/>
                <w:color w:val="FFFFFF"/>
                <w:sz w:val="22"/>
              </w:rPr>
            </w:pPr>
            <w:r w:rsidRPr="00066F8B">
              <w:rPr>
                <w:rFonts w:ascii="新細明體" w:hAnsi="新細明體"/>
                <w:b/>
                <w:bCs/>
                <w:color w:val="FFFFFF"/>
                <w:sz w:val="18"/>
              </w:rPr>
              <w:t>法規名稱</w:t>
            </w:r>
          </w:p>
        </w:tc>
        <w:tc>
          <w:tcPr>
            <w:tcW w:w="2552" w:type="pct"/>
            <w:tcBorders>
              <w:top w:val="nil"/>
              <w:left w:val="nil"/>
              <w:bottom w:val="nil"/>
              <w:right w:val="nil"/>
            </w:tcBorders>
            <w:shd w:val="clear" w:color="auto" w:fill="FFFAE5"/>
            <w:vAlign w:val="center"/>
          </w:tcPr>
          <w:p w14:paraId="0482CBE4" w14:textId="77777777" w:rsidR="00C26A6E" w:rsidRPr="00171E1D" w:rsidRDefault="00C26A6E" w:rsidP="00171E1D">
            <w:pPr>
              <w:jc w:val="center"/>
              <w:rPr>
                <w:rFonts w:eastAsia="標楷體"/>
                <w:bCs/>
                <w:shadow/>
                <w:sz w:val="32"/>
              </w:rPr>
            </w:pPr>
            <w:r w:rsidRPr="00171E1D">
              <w:rPr>
                <w:rFonts w:eastAsia="標楷體" w:hint="eastAsia"/>
                <w:shadow/>
                <w:sz w:val="32"/>
              </w:rPr>
              <w:t>環境基本法</w:t>
            </w:r>
          </w:p>
        </w:tc>
        <w:tc>
          <w:tcPr>
            <w:tcW w:w="1829" w:type="pct"/>
            <w:tcBorders>
              <w:top w:val="nil"/>
              <w:left w:val="nil"/>
              <w:bottom w:val="nil"/>
              <w:right w:val="nil"/>
            </w:tcBorders>
            <w:shd w:val="clear" w:color="auto" w:fill="FFFAE5"/>
            <w:vAlign w:val="center"/>
          </w:tcPr>
          <w:p w14:paraId="28D4A852" w14:textId="77777777" w:rsidR="00C26A6E" w:rsidRPr="00171E1D" w:rsidRDefault="00C26A6E">
            <w:pPr>
              <w:ind w:leftChars="-6" w:left="-14"/>
              <w:jc w:val="both"/>
              <w:rPr>
                <w:rFonts w:ascii="Arial Unicode MS" w:hAnsi="Arial Unicode MS"/>
                <w:color w:val="800000"/>
                <w:sz w:val="20"/>
              </w:rPr>
            </w:pPr>
            <w:r w:rsidRPr="00171E1D">
              <w:rPr>
                <w:rFonts w:ascii="Arial Unicode MS" w:hAnsi="Arial Unicode MS"/>
                <w:color w:val="800000"/>
                <w:sz w:val="20"/>
              </w:rPr>
              <w:t>【</w:t>
            </w:r>
            <w:r w:rsidRPr="00171E1D">
              <w:rPr>
                <w:rFonts w:ascii="Arial Unicode MS" w:hAnsi="Arial Unicode MS" w:hint="eastAsia"/>
                <w:color w:val="800000"/>
                <w:sz w:val="20"/>
              </w:rPr>
              <w:t>制定</w:t>
            </w:r>
            <w:r w:rsidRPr="00171E1D">
              <w:rPr>
                <w:rFonts w:ascii="Arial Unicode MS" w:hAnsi="Arial Unicode MS"/>
                <w:color w:val="800000"/>
                <w:sz w:val="20"/>
              </w:rPr>
              <w:t>日期】</w:t>
            </w:r>
            <w:r w:rsidRPr="00171E1D">
              <w:rPr>
                <w:rFonts w:ascii="Arial Unicode MS" w:hAnsi="Arial Unicode MS" w:hint="eastAsia"/>
                <w:color w:val="800000"/>
                <w:sz w:val="20"/>
              </w:rPr>
              <w:t>民國</w:t>
            </w:r>
            <w:r w:rsidRPr="00171E1D">
              <w:rPr>
                <w:rFonts w:ascii="Arial Unicode MS" w:hAnsi="Arial Unicode MS" w:hint="eastAsia"/>
                <w:color w:val="800000"/>
                <w:sz w:val="20"/>
              </w:rPr>
              <w:t>91</w:t>
            </w:r>
            <w:r w:rsidRPr="00171E1D">
              <w:rPr>
                <w:rFonts w:ascii="Arial Unicode MS" w:hAnsi="Arial Unicode MS"/>
                <w:color w:val="800000"/>
                <w:sz w:val="20"/>
              </w:rPr>
              <w:t>年</w:t>
            </w:r>
            <w:r w:rsidRPr="00171E1D">
              <w:rPr>
                <w:rFonts w:ascii="Arial Unicode MS" w:hAnsi="Arial Unicode MS" w:hint="eastAsia"/>
                <w:color w:val="800000"/>
                <w:sz w:val="20"/>
              </w:rPr>
              <w:t>11</w:t>
            </w:r>
            <w:r w:rsidRPr="00171E1D">
              <w:rPr>
                <w:rFonts w:ascii="Arial Unicode MS" w:hAnsi="Arial Unicode MS"/>
                <w:color w:val="800000"/>
                <w:sz w:val="20"/>
              </w:rPr>
              <w:t>月</w:t>
            </w:r>
            <w:r w:rsidRPr="00171E1D">
              <w:rPr>
                <w:rFonts w:ascii="Arial Unicode MS" w:hAnsi="Arial Unicode MS" w:hint="eastAsia"/>
                <w:color w:val="800000"/>
                <w:sz w:val="20"/>
              </w:rPr>
              <w:t>19</w:t>
            </w:r>
            <w:r w:rsidRPr="00171E1D">
              <w:rPr>
                <w:rFonts w:ascii="Arial Unicode MS" w:hAnsi="Arial Unicode MS"/>
                <w:color w:val="800000"/>
                <w:sz w:val="20"/>
              </w:rPr>
              <w:t>日</w:t>
            </w:r>
          </w:p>
          <w:p w14:paraId="014A1800" w14:textId="77777777" w:rsidR="00C26A6E" w:rsidRPr="00171E1D" w:rsidRDefault="00C26A6E" w:rsidP="00A85E5E">
            <w:pPr>
              <w:ind w:leftChars="-6" w:left="-14"/>
              <w:jc w:val="both"/>
              <w:rPr>
                <w:rFonts w:ascii="Arial Unicode MS" w:hAnsi="Arial Unicode MS"/>
                <w:color w:val="800000"/>
                <w:sz w:val="20"/>
              </w:rPr>
            </w:pPr>
            <w:r w:rsidRPr="00171E1D">
              <w:rPr>
                <w:rFonts w:ascii="Arial Unicode MS" w:hAnsi="Arial Unicode MS"/>
                <w:color w:val="800000"/>
                <w:sz w:val="20"/>
              </w:rPr>
              <w:t>【</w:t>
            </w:r>
            <w:r w:rsidRPr="00171E1D">
              <w:rPr>
                <w:rFonts w:ascii="Arial Unicode MS" w:hAnsi="Arial Unicode MS" w:hint="eastAsia"/>
                <w:color w:val="800000"/>
                <w:sz w:val="20"/>
              </w:rPr>
              <w:t>公布日期</w:t>
            </w:r>
            <w:r w:rsidRPr="00171E1D">
              <w:rPr>
                <w:rFonts w:ascii="Arial Unicode MS" w:hAnsi="Arial Unicode MS"/>
                <w:color w:val="800000"/>
                <w:sz w:val="20"/>
              </w:rPr>
              <w:t>】</w:t>
            </w:r>
            <w:r w:rsidRPr="00171E1D">
              <w:rPr>
                <w:rFonts w:ascii="Arial Unicode MS" w:hAnsi="Arial Unicode MS" w:hint="eastAsia"/>
                <w:color w:val="800000"/>
                <w:sz w:val="20"/>
              </w:rPr>
              <w:t>民國</w:t>
            </w:r>
            <w:r w:rsidRPr="00171E1D">
              <w:rPr>
                <w:rFonts w:ascii="Arial Unicode MS" w:hAnsi="Arial Unicode MS" w:hint="eastAsia"/>
                <w:color w:val="800000"/>
                <w:sz w:val="20"/>
              </w:rPr>
              <w:t>91</w:t>
            </w:r>
            <w:r w:rsidRPr="00171E1D">
              <w:rPr>
                <w:rFonts w:ascii="Arial Unicode MS" w:hAnsi="Arial Unicode MS"/>
                <w:color w:val="800000"/>
                <w:sz w:val="20"/>
              </w:rPr>
              <w:t>年</w:t>
            </w:r>
            <w:r w:rsidRPr="00171E1D">
              <w:rPr>
                <w:rFonts w:ascii="Arial Unicode MS" w:hAnsi="Arial Unicode MS" w:hint="eastAsia"/>
                <w:color w:val="800000"/>
                <w:sz w:val="20"/>
              </w:rPr>
              <w:t>12</w:t>
            </w:r>
            <w:r w:rsidRPr="00171E1D">
              <w:rPr>
                <w:rFonts w:ascii="Arial Unicode MS" w:hAnsi="Arial Unicode MS"/>
                <w:color w:val="800000"/>
                <w:sz w:val="20"/>
              </w:rPr>
              <w:t>月</w:t>
            </w:r>
            <w:r w:rsidRPr="00171E1D">
              <w:rPr>
                <w:rFonts w:ascii="Arial Unicode MS" w:hAnsi="Arial Unicode MS" w:hint="eastAsia"/>
                <w:color w:val="800000"/>
                <w:sz w:val="20"/>
              </w:rPr>
              <w:t>11</w:t>
            </w:r>
            <w:r w:rsidRPr="00171E1D">
              <w:rPr>
                <w:rFonts w:ascii="Arial Unicode MS" w:hAnsi="Arial Unicode MS"/>
                <w:color w:val="800000"/>
                <w:sz w:val="20"/>
              </w:rPr>
              <w:t>日</w:t>
            </w:r>
          </w:p>
        </w:tc>
      </w:tr>
    </w:tbl>
    <w:p w14:paraId="71554BEE" w14:textId="6B26F0A6" w:rsidR="00125FFF" w:rsidRPr="00171E1D" w:rsidRDefault="00700943" w:rsidP="00700943">
      <w:pPr>
        <w:jc w:val="center"/>
        <w:rPr>
          <w:rFonts w:ascii="Arial Unicode MS" w:hAnsi="Arial Unicode MS"/>
          <w:b/>
          <w:bCs/>
          <w:color w:val="800000"/>
          <w:sz w:val="20"/>
        </w:rPr>
      </w:pPr>
      <w:r w:rsidRPr="007E576E">
        <w:rPr>
          <w:rFonts w:ascii="Arial Unicode MS" w:hAnsi="Arial Unicode MS" w:hint="eastAsia"/>
          <w:color w:val="FFFFFF"/>
          <w:sz w:val="18"/>
        </w:rPr>
        <w:t>‧</w:t>
      </w:r>
      <w:hyperlink r:id="rId13" w:anchor="環境基本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6B788F">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sidR="006B788F">
        <w:rPr>
          <w:rFonts w:ascii="Arial Unicode MS" w:hAnsi="Arial Unicode MS" w:hint="eastAsia"/>
          <w:b/>
          <w:color w:val="5F5F5F"/>
          <w:sz w:val="18"/>
        </w:rPr>
        <w:t>〉〉</w:t>
      </w:r>
    </w:p>
    <w:p w14:paraId="704ED41E" w14:textId="77777777" w:rsidR="00C26A6E" w:rsidRPr="00A85E5E" w:rsidRDefault="00C26A6E" w:rsidP="00A85E5E">
      <w:pPr>
        <w:pStyle w:val="1"/>
        <w:rPr>
          <w:color w:val="990000"/>
        </w:rPr>
      </w:pPr>
      <w:r w:rsidRPr="00A85E5E">
        <w:rPr>
          <w:color w:val="990000"/>
        </w:rPr>
        <w:t>【</w:t>
      </w:r>
      <w:r w:rsidRPr="00A85E5E">
        <w:rPr>
          <w:rFonts w:hint="eastAsia"/>
          <w:color w:val="990000"/>
        </w:rPr>
        <w:t>法規沿革</w:t>
      </w:r>
      <w:r w:rsidRPr="00A85E5E">
        <w:rPr>
          <w:color w:val="990000"/>
        </w:rPr>
        <w:t>】</w:t>
      </w:r>
    </w:p>
    <w:p w14:paraId="1B2C85A7" w14:textId="77777777" w:rsidR="00C26A6E" w:rsidRPr="00171E1D" w:rsidRDefault="00C26A6E">
      <w:pPr>
        <w:ind w:left="181"/>
        <w:rPr>
          <w:rFonts w:ascii="Arial Unicode MS" w:hAnsi="Arial Unicode MS"/>
          <w:color w:val="666699"/>
          <w:sz w:val="18"/>
        </w:rPr>
      </w:pPr>
      <w:r w:rsidRPr="00AE2862">
        <w:rPr>
          <w:rFonts w:ascii="Arial Unicode MS" w:hAnsi="Arial Unicode MS"/>
          <w:b/>
          <w:color w:val="666699"/>
          <w:sz w:val="18"/>
        </w:rPr>
        <w:t>1</w:t>
      </w:r>
      <w:r w:rsidR="00A85E5E">
        <w:rPr>
          <w:rFonts w:ascii="Arial Unicode MS" w:hAnsi="Arial Unicode MS" w:hint="eastAsia"/>
          <w:b/>
          <w:color w:val="666699"/>
          <w:sz w:val="18"/>
        </w:rPr>
        <w:t>‧</w:t>
      </w:r>
      <w:r w:rsidRPr="00171E1D">
        <w:rPr>
          <w:rFonts w:ascii="Arial Unicode MS" w:hAnsi="Arial Unicode MS"/>
          <w:color w:val="666699"/>
          <w:sz w:val="18"/>
        </w:rPr>
        <w:t>中華民國九十一年十二月十一日總統華總一義字第</w:t>
      </w:r>
      <w:r w:rsidRPr="00171E1D">
        <w:rPr>
          <w:rFonts w:ascii="Arial Unicode MS" w:hAnsi="Arial Unicode MS"/>
          <w:color w:val="666699"/>
          <w:sz w:val="18"/>
        </w:rPr>
        <w:t>09100238990</w:t>
      </w:r>
      <w:r w:rsidRPr="00171E1D">
        <w:rPr>
          <w:rFonts w:ascii="Arial Unicode MS" w:hAnsi="Arial Unicode MS"/>
          <w:color w:val="666699"/>
          <w:sz w:val="18"/>
        </w:rPr>
        <w:t>號令制定公布全文</w:t>
      </w:r>
      <w:r w:rsidRPr="00171E1D">
        <w:rPr>
          <w:rFonts w:ascii="Arial Unicode MS" w:hAnsi="Arial Unicode MS"/>
          <w:color w:val="666699"/>
          <w:sz w:val="18"/>
        </w:rPr>
        <w:t>41</w:t>
      </w:r>
      <w:r w:rsidRPr="00171E1D">
        <w:rPr>
          <w:rFonts w:ascii="Arial Unicode MS" w:hAnsi="Arial Unicode MS"/>
          <w:color w:val="666699"/>
          <w:sz w:val="18"/>
        </w:rPr>
        <w:t>條；並自公布日施行</w:t>
      </w:r>
    </w:p>
    <w:p w14:paraId="161009CC" w14:textId="77777777" w:rsidR="00AD7CDB" w:rsidRPr="00171E1D" w:rsidRDefault="00AD7CDB">
      <w:pPr>
        <w:rPr>
          <w:rFonts w:ascii="Arial Unicode MS" w:hAnsi="Arial Unicode MS"/>
          <w:b/>
          <w:bCs/>
          <w:color w:val="800000"/>
          <w:sz w:val="20"/>
        </w:rPr>
      </w:pPr>
    </w:p>
    <w:p w14:paraId="00549E72" w14:textId="77777777" w:rsidR="00C26A6E" w:rsidRPr="00A85E5E" w:rsidRDefault="00C26A6E" w:rsidP="00A85E5E">
      <w:pPr>
        <w:pStyle w:val="1"/>
        <w:rPr>
          <w:color w:val="990000"/>
        </w:rPr>
      </w:pPr>
      <w:bookmarkStart w:id="2" w:name="a章節索引"/>
      <w:bookmarkEnd w:id="2"/>
      <w:r w:rsidRPr="00A85E5E">
        <w:rPr>
          <w:color w:val="990000"/>
        </w:rPr>
        <w:t>【</w:t>
      </w:r>
      <w:r w:rsidRPr="00A85E5E">
        <w:rPr>
          <w:rFonts w:hint="eastAsia"/>
          <w:color w:val="990000"/>
        </w:rPr>
        <w:t>章節索引</w:t>
      </w:r>
      <w:r w:rsidRPr="00A85E5E">
        <w:rPr>
          <w:color w:val="990000"/>
        </w:rPr>
        <w:t>】</w:t>
      </w:r>
    </w:p>
    <w:p w14:paraId="494F2BE4" w14:textId="77777777" w:rsidR="00916226" w:rsidRPr="00171E1D" w:rsidRDefault="00C26A6E">
      <w:pPr>
        <w:ind w:left="181"/>
        <w:rPr>
          <w:rFonts w:ascii="Arial Unicode MS" w:hAnsi="Arial Unicode MS"/>
          <w:color w:val="993300"/>
          <w:sz w:val="20"/>
        </w:rPr>
      </w:pPr>
      <w:r w:rsidRPr="00171E1D">
        <w:rPr>
          <w:rFonts w:ascii="Arial Unicode MS" w:hAnsi="Arial Unicode MS"/>
          <w:color w:val="993300"/>
          <w:sz w:val="20"/>
        </w:rPr>
        <w:t>第一章</w:t>
      </w:r>
      <w:r w:rsidRPr="00171E1D">
        <w:rPr>
          <w:rFonts w:ascii="Arial Unicode MS" w:hAnsi="Arial Unicode MS" w:hint="eastAsia"/>
          <w:color w:val="993300"/>
          <w:sz w:val="20"/>
        </w:rPr>
        <w:t xml:space="preserve">　</w:t>
      </w:r>
      <w:hyperlink w:anchor="_第一章__總" w:history="1">
        <w:r w:rsidRPr="00171E1D">
          <w:rPr>
            <w:rStyle w:val="a3"/>
            <w:rFonts w:ascii="Arial Unicode MS" w:hAnsi="Arial Unicode MS"/>
          </w:rPr>
          <w:t>總則</w:t>
        </w:r>
      </w:hyperlink>
      <w:r w:rsidRPr="00171E1D">
        <w:rPr>
          <w:rFonts w:ascii="Arial Unicode MS" w:hAnsi="Arial Unicode MS" w:hint="eastAsia"/>
          <w:color w:val="993300"/>
          <w:sz w:val="20"/>
        </w:rPr>
        <w:t xml:space="preserve">　</w:t>
      </w:r>
      <w:r w:rsidRPr="00171E1D">
        <w:rPr>
          <w:rFonts w:ascii="Arial Unicode MS" w:hAnsi="Arial Unicode MS"/>
          <w:color w:val="993300"/>
          <w:sz w:val="20"/>
        </w:rPr>
        <w:t>§1</w:t>
      </w:r>
    </w:p>
    <w:p w14:paraId="7D53B7AC" w14:textId="77777777" w:rsidR="00916226" w:rsidRPr="00171E1D" w:rsidRDefault="00C26A6E">
      <w:pPr>
        <w:ind w:left="181"/>
        <w:rPr>
          <w:rFonts w:ascii="Arial Unicode MS" w:hAnsi="Arial Unicode MS"/>
          <w:color w:val="993300"/>
          <w:sz w:val="20"/>
        </w:rPr>
      </w:pPr>
      <w:r w:rsidRPr="00171E1D">
        <w:rPr>
          <w:rFonts w:ascii="Arial Unicode MS" w:hAnsi="Arial Unicode MS"/>
          <w:color w:val="993300"/>
          <w:sz w:val="20"/>
        </w:rPr>
        <w:t>第二章</w:t>
      </w:r>
      <w:r w:rsidRPr="00171E1D">
        <w:rPr>
          <w:rFonts w:ascii="Arial Unicode MS" w:hAnsi="Arial Unicode MS" w:hint="eastAsia"/>
          <w:color w:val="993300"/>
          <w:sz w:val="20"/>
        </w:rPr>
        <w:t xml:space="preserve">　</w:t>
      </w:r>
      <w:hyperlink w:anchor="_第二章__規劃及保護" w:history="1">
        <w:r w:rsidRPr="00171E1D">
          <w:rPr>
            <w:rStyle w:val="a3"/>
            <w:rFonts w:ascii="Arial Unicode MS" w:hAnsi="Arial Unicode MS"/>
          </w:rPr>
          <w:t>規劃及保護</w:t>
        </w:r>
      </w:hyperlink>
      <w:r w:rsidRPr="00171E1D">
        <w:rPr>
          <w:rFonts w:ascii="Arial Unicode MS" w:hAnsi="Arial Unicode MS" w:hint="eastAsia"/>
          <w:color w:val="993300"/>
          <w:sz w:val="20"/>
        </w:rPr>
        <w:t xml:space="preserve">　</w:t>
      </w:r>
      <w:r w:rsidRPr="00171E1D">
        <w:rPr>
          <w:rFonts w:ascii="Arial Unicode MS" w:hAnsi="Arial Unicode MS"/>
          <w:color w:val="993300"/>
          <w:sz w:val="20"/>
        </w:rPr>
        <w:t>§15</w:t>
      </w:r>
    </w:p>
    <w:p w14:paraId="0FBA34A7" w14:textId="77777777" w:rsidR="00916226" w:rsidRPr="00171E1D" w:rsidRDefault="00C26A6E">
      <w:pPr>
        <w:ind w:left="181"/>
        <w:rPr>
          <w:rFonts w:ascii="Arial Unicode MS" w:hAnsi="Arial Unicode MS"/>
          <w:color w:val="993300"/>
          <w:sz w:val="20"/>
        </w:rPr>
      </w:pPr>
      <w:r w:rsidRPr="00171E1D">
        <w:rPr>
          <w:rFonts w:ascii="Arial Unicode MS" w:hAnsi="Arial Unicode MS"/>
          <w:color w:val="993300"/>
          <w:sz w:val="20"/>
        </w:rPr>
        <w:t>第三章</w:t>
      </w:r>
      <w:r w:rsidRPr="00171E1D">
        <w:rPr>
          <w:rFonts w:ascii="Arial Unicode MS" w:hAnsi="Arial Unicode MS" w:hint="eastAsia"/>
          <w:color w:val="993300"/>
          <w:sz w:val="20"/>
        </w:rPr>
        <w:t xml:space="preserve">　</w:t>
      </w:r>
      <w:hyperlink w:anchor="_第三章__防制及救濟" w:history="1">
        <w:r w:rsidRPr="00171E1D">
          <w:rPr>
            <w:rStyle w:val="a3"/>
            <w:rFonts w:ascii="Arial Unicode MS" w:hAnsi="Arial Unicode MS"/>
          </w:rPr>
          <w:t>防制及救濟</w:t>
        </w:r>
      </w:hyperlink>
      <w:r w:rsidRPr="00171E1D">
        <w:rPr>
          <w:rFonts w:ascii="Arial Unicode MS" w:hAnsi="Arial Unicode MS" w:hint="eastAsia"/>
          <w:color w:val="993300"/>
          <w:sz w:val="20"/>
        </w:rPr>
        <w:t xml:space="preserve">　</w:t>
      </w:r>
      <w:r w:rsidRPr="00171E1D">
        <w:rPr>
          <w:rFonts w:ascii="Arial Unicode MS" w:hAnsi="Arial Unicode MS"/>
          <w:color w:val="993300"/>
          <w:sz w:val="20"/>
        </w:rPr>
        <w:t>§19</w:t>
      </w:r>
    </w:p>
    <w:p w14:paraId="7582A52F" w14:textId="77777777" w:rsidR="00916226" w:rsidRPr="00171E1D" w:rsidRDefault="00C26A6E">
      <w:pPr>
        <w:ind w:left="181"/>
        <w:rPr>
          <w:rFonts w:ascii="Arial Unicode MS" w:hAnsi="Arial Unicode MS"/>
          <w:color w:val="993300"/>
          <w:sz w:val="20"/>
        </w:rPr>
      </w:pPr>
      <w:r w:rsidRPr="00171E1D">
        <w:rPr>
          <w:rFonts w:ascii="Arial Unicode MS" w:hAnsi="Arial Unicode MS"/>
          <w:color w:val="993300"/>
          <w:sz w:val="20"/>
        </w:rPr>
        <w:t>第四章</w:t>
      </w:r>
      <w:r w:rsidRPr="00171E1D">
        <w:rPr>
          <w:rFonts w:ascii="Arial Unicode MS" w:hAnsi="Arial Unicode MS" w:hint="eastAsia"/>
          <w:color w:val="993300"/>
          <w:sz w:val="20"/>
        </w:rPr>
        <w:t xml:space="preserve">　</w:t>
      </w:r>
      <w:hyperlink w:anchor="_第四章__輔導、監督及獎懲" w:history="1">
        <w:r w:rsidRPr="00171E1D">
          <w:rPr>
            <w:rStyle w:val="a3"/>
            <w:rFonts w:ascii="Arial Unicode MS" w:hAnsi="Arial Unicode MS"/>
          </w:rPr>
          <w:t>輔導、監督及獎懲</w:t>
        </w:r>
      </w:hyperlink>
      <w:r w:rsidRPr="00171E1D">
        <w:rPr>
          <w:rFonts w:ascii="Arial Unicode MS" w:hAnsi="Arial Unicode MS" w:hint="eastAsia"/>
          <w:color w:val="993300"/>
          <w:sz w:val="20"/>
        </w:rPr>
        <w:t xml:space="preserve">　</w:t>
      </w:r>
      <w:r w:rsidRPr="00171E1D">
        <w:rPr>
          <w:rFonts w:ascii="Arial Unicode MS" w:hAnsi="Arial Unicode MS"/>
          <w:color w:val="993300"/>
          <w:sz w:val="20"/>
        </w:rPr>
        <w:t>§35</w:t>
      </w:r>
    </w:p>
    <w:p w14:paraId="3007F6F5" w14:textId="77777777" w:rsidR="00C26A6E" w:rsidRPr="00171E1D" w:rsidRDefault="00C26A6E">
      <w:pPr>
        <w:ind w:left="181"/>
        <w:rPr>
          <w:rFonts w:ascii="Arial Unicode MS" w:hAnsi="Arial Unicode MS"/>
          <w:color w:val="993300"/>
          <w:sz w:val="20"/>
        </w:rPr>
      </w:pPr>
      <w:r w:rsidRPr="00171E1D">
        <w:rPr>
          <w:rFonts w:ascii="Arial Unicode MS" w:hAnsi="Arial Unicode MS"/>
          <w:color w:val="993300"/>
          <w:sz w:val="20"/>
        </w:rPr>
        <w:t>第五章</w:t>
      </w:r>
      <w:r w:rsidRPr="00171E1D">
        <w:rPr>
          <w:rFonts w:ascii="Arial Unicode MS" w:hAnsi="Arial Unicode MS" w:hint="eastAsia"/>
          <w:color w:val="993300"/>
          <w:sz w:val="20"/>
        </w:rPr>
        <w:t xml:space="preserve">　</w:t>
      </w:r>
      <w:hyperlink w:anchor="_第五章__附" w:history="1">
        <w:r w:rsidRPr="00171E1D">
          <w:rPr>
            <w:rStyle w:val="a3"/>
            <w:rFonts w:ascii="Arial Unicode MS" w:hAnsi="Arial Unicode MS"/>
          </w:rPr>
          <w:t>附則</w:t>
        </w:r>
      </w:hyperlink>
      <w:r w:rsidRPr="00171E1D">
        <w:rPr>
          <w:rFonts w:ascii="Arial Unicode MS" w:hAnsi="Arial Unicode MS" w:hint="eastAsia"/>
          <w:color w:val="993300"/>
          <w:sz w:val="20"/>
        </w:rPr>
        <w:t xml:space="preserve">　</w:t>
      </w:r>
      <w:r w:rsidRPr="00171E1D">
        <w:rPr>
          <w:rFonts w:ascii="Arial Unicode MS" w:hAnsi="Arial Unicode MS"/>
          <w:color w:val="993300"/>
          <w:sz w:val="20"/>
        </w:rPr>
        <w:t>§40</w:t>
      </w:r>
    </w:p>
    <w:p w14:paraId="3C99EAA6" w14:textId="77777777" w:rsidR="00C26A6E" w:rsidRPr="00171E1D" w:rsidRDefault="00C26A6E">
      <w:pPr>
        <w:rPr>
          <w:rFonts w:ascii="Arial Unicode MS" w:hAnsi="Arial Unicode MS"/>
          <w:b/>
          <w:bCs/>
          <w:color w:val="800000"/>
          <w:sz w:val="20"/>
        </w:rPr>
      </w:pPr>
    </w:p>
    <w:p w14:paraId="77CBAD61" w14:textId="5F22742E" w:rsidR="00C26A6E" w:rsidRPr="00A85E5E" w:rsidRDefault="002F7139" w:rsidP="00A85E5E">
      <w:pPr>
        <w:pStyle w:val="1"/>
        <w:rPr>
          <w:rStyle w:val="a3"/>
          <w:rFonts w:ascii="Arial Unicode MS" w:hAnsi="Arial Unicode MS"/>
          <w:color w:val="990000"/>
        </w:rPr>
      </w:pPr>
      <w:r>
        <w:rPr>
          <w:color w:val="990000"/>
        </w:rPr>
        <w:t>【法規內容】</w:t>
      </w:r>
    </w:p>
    <w:p w14:paraId="5BC76297" w14:textId="77777777" w:rsidR="00C26A6E" w:rsidRPr="00A85E5E" w:rsidRDefault="00C26A6E" w:rsidP="00A85E5E">
      <w:pPr>
        <w:pStyle w:val="1"/>
      </w:pPr>
      <w:bookmarkStart w:id="3" w:name="_第一章__總"/>
      <w:bookmarkEnd w:id="3"/>
      <w:r w:rsidRPr="00A85E5E">
        <w:rPr>
          <w:rFonts w:hint="eastAsia"/>
        </w:rPr>
        <w:t>第一章　　總　則</w:t>
      </w:r>
    </w:p>
    <w:p w14:paraId="29EB2F29" w14:textId="77777777" w:rsidR="002F7139" w:rsidRDefault="00700943" w:rsidP="00AE2862">
      <w:pPr>
        <w:pStyle w:val="2"/>
      </w:pPr>
      <w:bookmarkStart w:id="4" w:name="a1"/>
      <w:bookmarkEnd w:id="4"/>
      <w:r>
        <w:rPr>
          <w:rFonts w:hint="eastAsia"/>
        </w:rPr>
        <w:t>第</w:t>
      </w:r>
      <w:r>
        <w:rPr>
          <w:rFonts w:hint="eastAsia"/>
        </w:rPr>
        <w:t>1</w:t>
      </w:r>
      <w:r>
        <w:rPr>
          <w:rFonts w:hint="eastAsia"/>
        </w:rPr>
        <w:t>條</w:t>
      </w:r>
      <w:r w:rsidR="00171E1D" w:rsidRPr="00AE2862">
        <w:rPr>
          <w:rFonts w:hint="eastAsia"/>
        </w:rPr>
        <w:t>（</w:t>
      </w:r>
      <w:r w:rsidR="00C26A6E" w:rsidRPr="00AE2862">
        <w:rPr>
          <w:rFonts w:hint="eastAsia"/>
        </w:rPr>
        <w:t>立法目的</w:t>
      </w:r>
      <w:r w:rsidR="002F7139">
        <w:rPr>
          <w:rFonts w:hint="eastAsia"/>
        </w:rPr>
        <w:t>）</w:t>
      </w:r>
    </w:p>
    <w:p w14:paraId="1CECF840" w14:textId="1727B064" w:rsidR="00C26A6E"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EA75B1">
        <w:rPr>
          <w:rFonts w:ascii="Arial Unicode MS" w:hAnsi="Arial Unicode MS" w:hint="eastAsia"/>
          <w:color w:val="17365D"/>
          <w:sz w:val="20"/>
        </w:rPr>
        <w:t>為提升環境品質，增進國民健康與福祉，維護環境資源，追求永續發展，以推動環境保護，特制定本法；本法未規定者，適用其他法律之規定。</w:t>
      </w:r>
    </w:p>
    <w:p w14:paraId="267160BC" w14:textId="45EEFE3B" w:rsidR="008F32C0" w:rsidRPr="00EA75B1" w:rsidRDefault="008F32C0" w:rsidP="00125FFF">
      <w:pPr>
        <w:ind w:leftChars="75" w:left="180"/>
        <w:jc w:val="both"/>
        <w:rPr>
          <w:rFonts w:ascii="Arial Unicode MS" w:hAnsi="Arial Unicode MS"/>
          <w:color w:val="17365D"/>
          <w:sz w:val="20"/>
        </w:rPr>
      </w:pPr>
      <w:r w:rsidRPr="006F36FD">
        <w:rPr>
          <w:rFonts w:ascii="Arial Unicode MS" w:hAnsi="Arial Unicode MS" w:cs="新細明體" w:hint="eastAsia"/>
          <w:color w:val="5F5F5F"/>
          <w:sz w:val="18"/>
          <w:lang w:val="zh-TW"/>
        </w:rPr>
        <w:t>【具參考價值】</w:t>
      </w:r>
      <w:hyperlink r:id="rId15"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p>
    <w:p w14:paraId="278E64EF" w14:textId="77777777" w:rsidR="002F7139" w:rsidRDefault="00700943" w:rsidP="00AE2862">
      <w:pPr>
        <w:pStyle w:val="2"/>
      </w:pPr>
      <w:r>
        <w:rPr>
          <w:rFonts w:hint="eastAsia"/>
        </w:rPr>
        <w:t>第</w:t>
      </w:r>
      <w:r>
        <w:rPr>
          <w:rFonts w:hint="eastAsia"/>
        </w:rPr>
        <w:t>2</w:t>
      </w:r>
      <w:r>
        <w:rPr>
          <w:rFonts w:hint="eastAsia"/>
        </w:rPr>
        <w:t>條</w:t>
      </w:r>
      <w:r w:rsidR="00171E1D">
        <w:rPr>
          <w:rFonts w:hint="eastAsia"/>
        </w:rPr>
        <w:t>（</w:t>
      </w:r>
      <w:r w:rsidR="00C26A6E" w:rsidRPr="00171E1D">
        <w:rPr>
          <w:rFonts w:hint="eastAsia"/>
        </w:rPr>
        <w:t>環境及永續發展之意義</w:t>
      </w:r>
      <w:r w:rsidR="002F7139">
        <w:rPr>
          <w:rFonts w:hint="eastAsia"/>
        </w:rPr>
        <w:t>）</w:t>
      </w:r>
    </w:p>
    <w:p w14:paraId="665C91FB" w14:textId="7DA1BD0E"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8B0D53">
        <w:rPr>
          <w:rFonts w:ascii="Arial Unicode MS" w:hAnsi="Arial Unicode MS" w:hint="eastAsia"/>
          <w:color w:val="17365D"/>
          <w:sz w:val="20"/>
        </w:rPr>
        <w:t>本法</w:t>
      </w:r>
      <w:r w:rsidR="00C26A6E" w:rsidRPr="00EA75B1">
        <w:rPr>
          <w:rFonts w:ascii="Arial Unicode MS" w:hAnsi="Arial Unicode MS" w:hint="eastAsia"/>
          <w:color w:val="17365D"/>
          <w:sz w:val="20"/>
        </w:rPr>
        <w:t>所稱環境，係指影響人類生存與發展之各種天然資源及經過人為影響之自然因素總稱，包括陽光、空氣、水、土壤、陸地、礦產、森林、野生生物、景觀及遊憩、社會經濟、文化、人文史蹟、自然遺蹟及自然生</w:t>
      </w:r>
      <w:r w:rsidR="00C26A6E" w:rsidRPr="008B0D53">
        <w:rPr>
          <w:rFonts w:ascii="Arial Unicode MS" w:hAnsi="Arial Unicode MS" w:hint="eastAsia"/>
          <w:color w:val="17365D"/>
          <w:sz w:val="20"/>
        </w:rPr>
        <w:t>態系統等</w:t>
      </w:r>
      <w:r>
        <w:rPr>
          <w:rFonts w:ascii="Arial Unicode MS" w:hAnsi="Arial Unicode MS" w:hint="eastAsia"/>
          <w:color w:val="17365D"/>
          <w:sz w:val="20"/>
        </w:rPr>
        <w:t>。</w:t>
      </w:r>
    </w:p>
    <w:p w14:paraId="727870CC" w14:textId="24330542"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永續發展係指做到滿足當代需求，同時不損及後代滿足其需要之發展。</w:t>
      </w:r>
    </w:p>
    <w:p w14:paraId="10D14A90" w14:textId="77777777" w:rsidR="002F7139" w:rsidRDefault="00700943" w:rsidP="00AE2862">
      <w:pPr>
        <w:pStyle w:val="2"/>
      </w:pPr>
      <w:bookmarkStart w:id="5" w:name="a3"/>
      <w:bookmarkEnd w:id="5"/>
      <w:r>
        <w:rPr>
          <w:rFonts w:hint="eastAsia"/>
        </w:rPr>
        <w:t>第</w:t>
      </w:r>
      <w:r>
        <w:rPr>
          <w:rFonts w:hint="eastAsia"/>
        </w:rPr>
        <w:t>3</w:t>
      </w:r>
      <w:r>
        <w:rPr>
          <w:rFonts w:hint="eastAsia"/>
        </w:rPr>
        <w:t>條</w:t>
      </w:r>
      <w:r w:rsidR="00171E1D">
        <w:rPr>
          <w:rFonts w:hint="eastAsia"/>
        </w:rPr>
        <w:t>（</w:t>
      </w:r>
      <w:r w:rsidR="00C26A6E" w:rsidRPr="00171E1D">
        <w:rPr>
          <w:rFonts w:hint="eastAsia"/>
        </w:rPr>
        <w:t>環境保護與經濟、科技及社會發展並重</w:t>
      </w:r>
      <w:r w:rsidR="002F7139">
        <w:rPr>
          <w:rFonts w:hint="eastAsia"/>
        </w:rPr>
        <w:t>）</w:t>
      </w:r>
    </w:p>
    <w:p w14:paraId="4B63199F" w14:textId="2BB11285" w:rsidR="00C26A6E" w:rsidRPr="00EA75B1"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8B0D53">
        <w:rPr>
          <w:rFonts w:ascii="Arial Unicode MS" w:hAnsi="Arial Unicode MS" w:hint="eastAsia"/>
          <w:color w:val="17365D"/>
          <w:sz w:val="20"/>
        </w:rPr>
        <w:t>基於</w:t>
      </w:r>
      <w:r w:rsidR="00C26A6E" w:rsidRPr="00EA75B1">
        <w:rPr>
          <w:rFonts w:ascii="Arial Unicode MS" w:hAnsi="Arial Unicode MS" w:hint="eastAsia"/>
          <w:color w:val="17365D"/>
          <w:sz w:val="20"/>
        </w:rPr>
        <w:t>國家長期利益，經濟、科技及社會發展均應兼顧環境保護。但經濟、科技及社會發展對環境有嚴重不良影響或有危害之虞者，應環境保護優先。</w:t>
      </w:r>
    </w:p>
    <w:p w14:paraId="69A98C6A" w14:textId="77777777" w:rsidR="002F7139" w:rsidRDefault="00700943" w:rsidP="00AE2862">
      <w:pPr>
        <w:pStyle w:val="2"/>
      </w:pPr>
      <w:bookmarkStart w:id="6" w:name="a4"/>
      <w:bookmarkEnd w:id="6"/>
      <w:r>
        <w:rPr>
          <w:rFonts w:hint="eastAsia"/>
        </w:rPr>
        <w:t>第</w:t>
      </w:r>
      <w:r>
        <w:rPr>
          <w:rFonts w:hint="eastAsia"/>
        </w:rPr>
        <w:t>4</w:t>
      </w:r>
      <w:r>
        <w:rPr>
          <w:rFonts w:hint="eastAsia"/>
        </w:rPr>
        <w:t>條</w:t>
      </w:r>
      <w:r w:rsidR="00171E1D">
        <w:rPr>
          <w:rFonts w:hint="eastAsia"/>
        </w:rPr>
        <w:t>（</w:t>
      </w:r>
      <w:r w:rsidR="00C26A6E" w:rsidRPr="00171E1D">
        <w:rPr>
          <w:rFonts w:hint="eastAsia"/>
        </w:rPr>
        <w:t>全民環境保護責任</w:t>
      </w:r>
      <w:r w:rsidR="002F7139">
        <w:rPr>
          <w:rFonts w:hint="eastAsia"/>
        </w:rPr>
        <w:t>）</w:t>
      </w:r>
    </w:p>
    <w:p w14:paraId="2DB92423" w14:textId="39DA9984"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EA75B1">
        <w:rPr>
          <w:rFonts w:ascii="Arial Unicode MS" w:hAnsi="Arial Unicode MS" w:hint="eastAsia"/>
          <w:color w:val="17365D"/>
          <w:sz w:val="20"/>
        </w:rPr>
        <w:t>國民、事業及各級政府應共負環境保護之義務與責任</w:t>
      </w:r>
      <w:r>
        <w:rPr>
          <w:rFonts w:ascii="Arial Unicode MS" w:hAnsi="Arial Unicode MS" w:hint="eastAsia"/>
          <w:color w:val="17365D"/>
          <w:sz w:val="20"/>
        </w:rPr>
        <w:t>。</w:t>
      </w:r>
    </w:p>
    <w:p w14:paraId="483039A6" w14:textId="3BFC1BE5"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Pr="00171E1D">
        <w:rPr>
          <w:rFonts w:ascii="Arial Unicode MS" w:hAnsi="Arial Unicode MS" w:hint="eastAsia"/>
          <w:color w:val="666699"/>
          <w:sz w:val="20"/>
        </w:rPr>
        <w:t>環境污染者、破壞者應對其所造成之環境危害或環境風險負責</w:t>
      </w:r>
      <w:r>
        <w:rPr>
          <w:rFonts w:ascii="Arial Unicode MS" w:hAnsi="Arial Unicode MS" w:hint="eastAsia"/>
          <w:color w:val="17365D"/>
          <w:sz w:val="20"/>
        </w:rPr>
        <w:t>。</w:t>
      </w:r>
    </w:p>
    <w:p w14:paraId="41FAF6C0" w14:textId="4E6C2DD4" w:rsidR="00C26A6E"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3</w:t>
      </w:r>
      <w:r w:rsidRPr="002F7139">
        <w:rPr>
          <w:rFonts w:asciiTheme="minorHAnsi" w:hAnsiTheme="minorHAnsi" w:hint="eastAsia"/>
          <w:color w:val="404040" w:themeColor="text1" w:themeTint="BF"/>
          <w:sz w:val="18"/>
        </w:rPr>
        <w:t>﹞</w:t>
      </w:r>
      <w:r w:rsidR="00C26A6E" w:rsidRPr="00EA75B1">
        <w:rPr>
          <w:rFonts w:ascii="Arial Unicode MS" w:hAnsi="Arial Unicode MS" w:hint="eastAsia"/>
          <w:color w:val="17365D"/>
          <w:sz w:val="20"/>
        </w:rPr>
        <w:t>前項污染者、破壞者不存在或無法確知時，應由政府負責。</w:t>
      </w:r>
    </w:p>
    <w:p w14:paraId="3FCFE0E3" w14:textId="24F34C8B" w:rsidR="008F32C0" w:rsidRPr="00EA75B1" w:rsidRDefault="008F32C0" w:rsidP="00125FFF">
      <w:pPr>
        <w:ind w:leftChars="75" w:left="180"/>
        <w:jc w:val="both"/>
        <w:rPr>
          <w:rFonts w:ascii="Arial Unicode MS" w:hAnsi="Arial Unicode MS"/>
          <w:color w:val="17365D"/>
          <w:sz w:val="20"/>
        </w:rPr>
      </w:pPr>
      <w:r w:rsidRPr="006F36FD">
        <w:rPr>
          <w:rFonts w:ascii="Arial Unicode MS" w:hAnsi="Arial Unicode MS" w:cs="新細明體" w:hint="eastAsia"/>
          <w:color w:val="5F5F5F"/>
          <w:sz w:val="18"/>
          <w:lang w:val="zh-TW"/>
        </w:rPr>
        <w:t>【具參考價值】</w:t>
      </w:r>
      <w:hyperlink r:id="rId16"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p>
    <w:p w14:paraId="53B3724B" w14:textId="77777777" w:rsidR="002F7139" w:rsidRDefault="00700943" w:rsidP="00AE2862">
      <w:pPr>
        <w:pStyle w:val="2"/>
      </w:pPr>
      <w:r>
        <w:rPr>
          <w:rFonts w:hint="eastAsia"/>
        </w:rPr>
        <w:lastRenderedPageBreak/>
        <w:t>第</w:t>
      </w:r>
      <w:r>
        <w:rPr>
          <w:rFonts w:hint="eastAsia"/>
        </w:rPr>
        <w:t>5</w:t>
      </w:r>
      <w:r>
        <w:rPr>
          <w:rFonts w:hint="eastAsia"/>
        </w:rPr>
        <w:t>條</w:t>
      </w:r>
      <w:r w:rsidR="00171E1D">
        <w:rPr>
          <w:rFonts w:hint="eastAsia"/>
        </w:rPr>
        <w:t>（</w:t>
      </w:r>
      <w:r w:rsidR="00C26A6E" w:rsidRPr="00171E1D">
        <w:rPr>
          <w:rFonts w:hint="eastAsia"/>
        </w:rPr>
        <w:t>綠色消費，減少環境負荷</w:t>
      </w:r>
      <w:r w:rsidR="002F7139">
        <w:rPr>
          <w:rFonts w:hint="eastAsia"/>
        </w:rPr>
        <w:t>）</w:t>
      </w:r>
    </w:p>
    <w:p w14:paraId="5937E554" w14:textId="577122EF"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國民應秉持環境保護理念，減輕因日常生活造成之環境負荷。消費行為上，以綠色消費為原則；日常生活上，應進行廢棄物減量、分類及回收</w:t>
      </w:r>
      <w:r>
        <w:rPr>
          <w:rFonts w:ascii="Arial Unicode MS" w:hAnsi="Arial Unicode MS" w:hint="eastAsia"/>
          <w:color w:val="17365D"/>
          <w:sz w:val="20"/>
        </w:rPr>
        <w:t>。</w:t>
      </w:r>
    </w:p>
    <w:p w14:paraId="6DC5FE3C" w14:textId="03097F41"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國民應主動進行環境保護，並負有協助政府實施環境保護相關措施之責任。</w:t>
      </w:r>
    </w:p>
    <w:p w14:paraId="085054C6" w14:textId="77777777" w:rsidR="002F7139" w:rsidRDefault="00700943" w:rsidP="00AE2862">
      <w:pPr>
        <w:pStyle w:val="2"/>
      </w:pPr>
      <w:bookmarkStart w:id="7" w:name="a6"/>
      <w:bookmarkEnd w:id="7"/>
      <w:r>
        <w:rPr>
          <w:rFonts w:hint="eastAsia"/>
        </w:rPr>
        <w:t>第</w:t>
      </w:r>
      <w:r>
        <w:rPr>
          <w:rFonts w:hint="eastAsia"/>
        </w:rPr>
        <w:t>6</w:t>
      </w:r>
      <w:r>
        <w:rPr>
          <w:rFonts w:hint="eastAsia"/>
        </w:rPr>
        <w:t>條</w:t>
      </w:r>
      <w:r w:rsidR="00171E1D">
        <w:rPr>
          <w:rFonts w:hint="eastAsia"/>
        </w:rPr>
        <w:t>（</w:t>
      </w:r>
      <w:r w:rsidR="00C26A6E" w:rsidRPr="00171E1D">
        <w:rPr>
          <w:rFonts w:hint="eastAsia"/>
        </w:rPr>
        <w:t>以生命週期為基礎，促進清潔生產</w:t>
      </w:r>
      <w:r w:rsidR="002F7139">
        <w:rPr>
          <w:rFonts w:hint="eastAsia"/>
        </w:rPr>
        <w:t>）</w:t>
      </w:r>
    </w:p>
    <w:p w14:paraId="4E69EC3E" w14:textId="0E5E4313"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EA75B1">
        <w:rPr>
          <w:rFonts w:ascii="Arial Unicode MS" w:hAnsi="Arial Unicode MS" w:hint="eastAsia"/>
          <w:color w:val="17365D"/>
          <w:sz w:val="20"/>
        </w:rPr>
        <w:t>事業進行活動時，應自規劃階段納入環境保護理念，以生命週期為基礎，促進清潔生產，預防及減少污染，節約資源，回收利用再生資源及其他有益於減低環境負荷之原（材）料及勞務，以達永續發展之目的</w:t>
      </w:r>
      <w:r>
        <w:rPr>
          <w:rFonts w:ascii="Arial Unicode MS" w:hAnsi="Arial Unicode MS" w:hint="eastAsia"/>
          <w:color w:val="17365D"/>
          <w:sz w:val="20"/>
        </w:rPr>
        <w:t>。</w:t>
      </w:r>
    </w:p>
    <w:p w14:paraId="6666A9E3" w14:textId="2921718A" w:rsidR="00C26A6E"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C34472">
        <w:rPr>
          <w:rFonts w:ascii="Arial Unicode MS" w:hAnsi="Arial Unicode MS" w:hint="eastAsia"/>
          <w:color w:val="17365D"/>
          <w:sz w:val="20"/>
        </w:rPr>
        <w:t>事業應有協助政府實施環境保護相關措施之責任。</w:t>
      </w:r>
    </w:p>
    <w:p w14:paraId="41547C61" w14:textId="35A4BF0D" w:rsidR="00C34472" w:rsidRPr="00C34472" w:rsidRDefault="00C34472" w:rsidP="00125FFF">
      <w:pPr>
        <w:ind w:leftChars="75" w:left="180"/>
        <w:jc w:val="both"/>
        <w:rPr>
          <w:rFonts w:ascii="Arial Unicode MS" w:hAnsi="Arial Unicode MS" w:hint="eastAsia"/>
          <w:color w:val="5F5F5F"/>
          <w:sz w:val="18"/>
        </w:rPr>
      </w:pPr>
      <w:r w:rsidRPr="00C34472">
        <w:rPr>
          <w:rFonts w:ascii="Arial Unicode MS" w:hAnsi="Arial Unicode MS" w:hint="eastAsia"/>
          <w:color w:val="5F5F5F"/>
          <w:sz w:val="18"/>
        </w:rPr>
        <w:t>【相關法規】</w:t>
      </w:r>
      <w:hyperlink r:id="rId17" w:history="1">
        <w:r w:rsidRPr="00C34472">
          <w:rPr>
            <w:rStyle w:val="a3"/>
            <w:rFonts w:ascii="Arial Unicode MS" w:hAnsi="Arial Unicode MS" w:hint="eastAsia"/>
            <w:color w:val="5F5F5F"/>
            <w:sz w:val="18"/>
          </w:rPr>
          <w:t>環境部推動產品碳足跡管理要點</w:t>
        </w:r>
      </w:hyperlink>
    </w:p>
    <w:p w14:paraId="61ED5A88" w14:textId="77777777" w:rsidR="002F7139" w:rsidRDefault="00700943" w:rsidP="00AE2862">
      <w:pPr>
        <w:pStyle w:val="2"/>
      </w:pPr>
      <w:bookmarkStart w:id="8" w:name="a7"/>
      <w:bookmarkEnd w:id="8"/>
      <w:r>
        <w:rPr>
          <w:rFonts w:hint="eastAsia"/>
        </w:rPr>
        <w:t>第</w:t>
      </w:r>
      <w:r>
        <w:rPr>
          <w:rFonts w:hint="eastAsia"/>
        </w:rPr>
        <w:t>7</w:t>
      </w:r>
      <w:r>
        <w:rPr>
          <w:rFonts w:hint="eastAsia"/>
        </w:rPr>
        <w:t>條</w:t>
      </w:r>
      <w:r w:rsidR="00171E1D">
        <w:rPr>
          <w:rFonts w:hint="eastAsia"/>
        </w:rPr>
        <w:t>（</w:t>
      </w:r>
      <w:r w:rsidR="00C26A6E" w:rsidRPr="00171E1D">
        <w:rPr>
          <w:rFonts w:hint="eastAsia"/>
        </w:rPr>
        <w:t>環境保護責任及執行之評估檢討</w:t>
      </w:r>
      <w:r w:rsidR="002F7139">
        <w:rPr>
          <w:rFonts w:hint="eastAsia"/>
        </w:rPr>
        <w:t>）</w:t>
      </w:r>
    </w:p>
    <w:p w14:paraId="089D6961" w14:textId="7BA58B53"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中央政府應制（訂）定環境保護相關法規，策定國家環境保護計畫，建立永續發展指標，並推動實施之</w:t>
      </w:r>
      <w:r>
        <w:rPr>
          <w:rFonts w:ascii="Arial Unicode MS" w:hAnsi="Arial Unicode MS" w:hint="eastAsia"/>
          <w:color w:val="17365D"/>
          <w:sz w:val="20"/>
        </w:rPr>
        <w:t>。</w:t>
      </w:r>
    </w:p>
    <w:p w14:paraId="65E872E7" w14:textId="25BB746A" w:rsidR="002F7139" w:rsidRPr="00C34472"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Pr="00C34472">
        <w:rPr>
          <w:rFonts w:ascii="Arial Unicode MS" w:hAnsi="Arial Unicode MS" w:hint="eastAsia"/>
          <w:color w:val="17365D"/>
          <w:sz w:val="20"/>
        </w:rPr>
        <w:t>地方政府得視轄區內自然及社會條件之需要，依據前項法規及國家環境保護計畫，訂定自治法規及環境保護計畫，並推動實施之。</w:t>
      </w:r>
    </w:p>
    <w:p w14:paraId="15BAC999" w14:textId="45683967"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3</w:t>
      </w:r>
      <w:r w:rsidRPr="002F7139">
        <w:rPr>
          <w:rFonts w:asciiTheme="minorHAnsi" w:hAnsiTheme="minorHAnsi" w:hint="eastAsia"/>
          <w:color w:val="404040" w:themeColor="text1" w:themeTint="BF"/>
          <w:sz w:val="18"/>
        </w:rPr>
        <w:t>﹞</w:t>
      </w:r>
      <w:r w:rsidRPr="00171E1D">
        <w:rPr>
          <w:rFonts w:ascii="Arial Unicode MS" w:hAnsi="Arial Unicode MS" w:hint="eastAsia"/>
          <w:color w:val="17365D"/>
          <w:sz w:val="20"/>
        </w:rPr>
        <w:t>各級政府應定期評估檢討環境保護計畫之執行狀況，並公布之</w:t>
      </w:r>
      <w:r>
        <w:rPr>
          <w:rFonts w:ascii="Arial Unicode MS" w:hAnsi="Arial Unicode MS" w:hint="eastAsia"/>
          <w:color w:val="17365D"/>
          <w:sz w:val="20"/>
        </w:rPr>
        <w:t>。</w:t>
      </w:r>
    </w:p>
    <w:p w14:paraId="6581D5B6" w14:textId="1F1FF76E"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4</w:t>
      </w:r>
      <w:r w:rsidRPr="002F7139">
        <w:rPr>
          <w:rFonts w:asciiTheme="minorHAnsi" w:hAnsiTheme="minorHAnsi" w:hint="eastAsia"/>
          <w:color w:val="404040" w:themeColor="text1" w:themeTint="BF"/>
          <w:sz w:val="18"/>
        </w:rPr>
        <w:t>﹞</w:t>
      </w:r>
      <w:r w:rsidR="00C26A6E" w:rsidRPr="00C34472">
        <w:rPr>
          <w:rFonts w:ascii="Arial Unicode MS" w:hAnsi="Arial Unicode MS" w:hint="eastAsia"/>
          <w:color w:val="17365D"/>
          <w:sz w:val="20"/>
        </w:rPr>
        <w:t>中央政府應協助地方政府，落實地方自治，執行環境保護事務。</w:t>
      </w:r>
    </w:p>
    <w:p w14:paraId="33FF964D" w14:textId="77777777" w:rsidR="002F7139" w:rsidRDefault="00700943" w:rsidP="00AE2862">
      <w:pPr>
        <w:pStyle w:val="2"/>
      </w:pPr>
      <w:bookmarkStart w:id="9" w:name="a8"/>
      <w:bookmarkEnd w:id="9"/>
      <w:r>
        <w:rPr>
          <w:rFonts w:hint="eastAsia"/>
        </w:rPr>
        <w:t>第</w:t>
      </w:r>
      <w:r>
        <w:rPr>
          <w:rFonts w:hint="eastAsia"/>
        </w:rPr>
        <w:t>8</w:t>
      </w:r>
      <w:r>
        <w:rPr>
          <w:rFonts w:hint="eastAsia"/>
        </w:rPr>
        <w:t>條</w:t>
      </w:r>
      <w:r w:rsidR="00171E1D">
        <w:rPr>
          <w:rFonts w:hint="eastAsia"/>
        </w:rPr>
        <w:t>（</w:t>
      </w:r>
      <w:r w:rsidR="00C26A6E" w:rsidRPr="00171E1D">
        <w:rPr>
          <w:rFonts w:hint="eastAsia"/>
        </w:rPr>
        <w:t>環境保護科技發展</w:t>
      </w:r>
      <w:r w:rsidR="002F7139">
        <w:rPr>
          <w:rFonts w:hint="eastAsia"/>
        </w:rPr>
        <w:t>）</w:t>
      </w:r>
    </w:p>
    <w:p w14:paraId="69B4B8F4" w14:textId="2277062F"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各級政府施政應納入環境保護優先、永續發展理念，並應發展相關科學及技術，建立環境生命週期管理及綠色消費型態之經濟效率系統，以處理環境相關問題。</w:t>
      </w:r>
    </w:p>
    <w:p w14:paraId="7BAAFBE3" w14:textId="77777777" w:rsidR="002F7139" w:rsidRDefault="00700943" w:rsidP="00AE2862">
      <w:pPr>
        <w:pStyle w:val="2"/>
      </w:pPr>
      <w:r>
        <w:rPr>
          <w:rFonts w:hint="eastAsia"/>
        </w:rPr>
        <w:t>第</w:t>
      </w:r>
      <w:r>
        <w:rPr>
          <w:rFonts w:hint="eastAsia"/>
        </w:rPr>
        <w:t>9</w:t>
      </w:r>
      <w:r>
        <w:rPr>
          <w:rFonts w:hint="eastAsia"/>
        </w:rPr>
        <w:t>條</w:t>
      </w:r>
      <w:r w:rsidR="00171E1D">
        <w:rPr>
          <w:rFonts w:hint="eastAsia"/>
        </w:rPr>
        <w:t>（</w:t>
      </w:r>
      <w:r w:rsidR="00C26A6E" w:rsidRPr="00171E1D">
        <w:rPr>
          <w:rFonts w:hint="eastAsia"/>
        </w:rPr>
        <w:t>環境保護教育宣導</w:t>
      </w:r>
      <w:r w:rsidR="002F7139">
        <w:rPr>
          <w:rFonts w:hint="eastAsia"/>
        </w:rPr>
        <w:t>）</w:t>
      </w:r>
    </w:p>
    <w:p w14:paraId="068DC336" w14:textId="67B95E65"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各級政府應普及環境保護優先及永續發展相關之教育及學習，加強宣導，以提升國民環境知識，建立環境保護觀念，並落實於日常生活中。</w:t>
      </w:r>
    </w:p>
    <w:p w14:paraId="00538774" w14:textId="77777777" w:rsidR="002F7139" w:rsidRDefault="00700943" w:rsidP="00AE2862">
      <w:pPr>
        <w:pStyle w:val="2"/>
      </w:pPr>
      <w:r>
        <w:rPr>
          <w:rFonts w:hint="eastAsia"/>
        </w:rPr>
        <w:t>第</w:t>
      </w:r>
      <w:r>
        <w:rPr>
          <w:rFonts w:hint="eastAsia"/>
        </w:rPr>
        <w:t>10</w:t>
      </w:r>
      <w:r>
        <w:rPr>
          <w:rFonts w:hint="eastAsia"/>
        </w:rPr>
        <w:t>條</w:t>
      </w:r>
      <w:r w:rsidR="00171E1D">
        <w:rPr>
          <w:rFonts w:hint="eastAsia"/>
        </w:rPr>
        <w:t>（</w:t>
      </w:r>
      <w:r w:rsidR="00C26A6E" w:rsidRPr="00171E1D">
        <w:rPr>
          <w:rFonts w:hint="eastAsia"/>
        </w:rPr>
        <w:t>環保事務之辦理及經費分配</w:t>
      </w:r>
      <w:r w:rsidR="002F7139">
        <w:rPr>
          <w:rFonts w:hint="eastAsia"/>
        </w:rPr>
        <w:t>）</w:t>
      </w:r>
    </w:p>
    <w:p w14:paraId="1F64F1A8" w14:textId="78C981C0"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各級政府應由專責機關或單位規劃、推動辦理及輔導有關環境保護事務</w:t>
      </w:r>
      <w:r>
        <w:rPr>
          <w:rFonts w:ascii="Arial Unicode MS" w:hAnsi="Arial Unicode MS" w:hint="eastAsia"/>
          <w:color w:val="17365D"/>
          <w:sz w:val="20"/>
        </w:rPr>
        <w:t>。</w:t>
      </w:r>
    </w:p>
    <w:p w14:paraId="1048A92B" w14:textId="674DF840" w:rsidR="00C26A6E" w:rsidRPr="00C34472"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C34472">
        <w:rPr>
          <w:rFonts w:ascii="Arial Unicode MS" w:hAnsi="Arial Unicode MS" w:hint="eastAsia"/>
          <w:color w:val="17365D"/>
          <w:sz w:val="20"/>
        </w:rPr>
        <w:t>各級政府應寬列環境保護經費，並視實際需要合理分配之。</w:t>
      </w:r>
    </w:p>
    <w:p w14:paraId="2556AC78" w14:textId="77777777" w:rsidR="002F7139" w:rsidRDefault="00700943" w:rsidP="00AE2862">
      <w:pPr>
        <w:pStyle w:val="2"/>
      </w:pPr>
      <w:r>
        <w:rPr>
          <w:rFonts w:hint="eastAsia"/>
        </w:rPr>
        <w:t>第</w:t>
      </w:r>
      <w:r>
        <w:rPr>
          <w:rFonts w:hint="eastAsia"/>
        </w:rPr>
        <w:t>11</w:t>
      </w:r>
      <w:r>
        <w:rPr>
          <w:rFonts w:hint="eastAsia"/>
        </w:rPr>
        <w:t>條</w:t>
      </w:r>
      <w:r w:rsidR="00171E1D">
        <w:rPr>
          <w:rFonts w:hint="eastAsia"/>
        </w:rPr>
        <w:t>（</w:t>
      </w:r>
      <w:r w:rsidR="00C26A6E" w:rsidRPr="00171E1D">
        <w:rPr>
          <w:rFonts w:hint="eastAsia"/>
        </w:rPr>
        <w:t>環境保護諮詢</w:t>
      </w:r>
      <w:r w:rsidR="002F7139">
        <w:rPr>
          <w:rFonts w:hint="eastAsia"/>
        </w:rPr>
        <w:t>）</w:t>
      </w:r>
    </w:p>
    <w:p w14:paraId="637B378B" w14:textId="6B474823"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各級政府得聘請環境保護有關之機關、團體代表及學者專家備供諮詢</w:t>
      </w:r>
      <w:r>
        <w:rPr>
          <w:rFonts w:ascii="Arial Unicode MS" w:hAnsi="Arial Unicode MS" w:hint="eastAsia"/>
          <w:color w:val="17365D"/>
          <w:sz w:val="20"/>
        </w:rPr>
        <w:t>。</w:t>
      </w:r>
    </w:p>
    <w:p w14:paraId="2F377FBC" w14:textId="6F10D45A"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各級政府得邀請有關民眾與團體共同參與加強推動環境保護工作。</w:t>
      </w:r>
    </w:p>
    <w:p w14:paraId="08CFADC2" w14:textId="77777777" w:rsidR="002F7139" w:rsidRDefault="00700943" w:rsidP="00AE2862">
      <w:pPr>
        <w:pStyle w:val="2"/>
      </w:pPr>
      <w:r>
        <w:rPr>
          <w:rFonts w:hint="eastAsia"/>
        </w:rPr>
        <w:t>第</w:t>
      </w:r>
      <w:r>
        <w:rPr>
          <w:rFonts w:hint="eastAsia"/>
        </w:rPr>
        <w:t>12</w:t>
      </w:r>
      <w:r>
        <w:rPr>
          <w:rFonts w:hint="eastAsia"/>
        </w:rPr>
        <w:t>條</w:t>
      </w:r>
      <w:r w:rsidR="00171E1D">
        <w:rPr>
          <w:rFonts w:hint="eastAsia"/>
        </w:rPr>
        <w:t>（</w:t>
      </w:r>
      <w:r w:rsidR="00C26A6E" w:rsidRPr="00171E1D">
        <w:rPr>
          <w:rFonts w:hint="eastAsia"/>
        </w:rPr>
        <w:t>國際合作</w:t>
      </w:r>
      <w:r w:rsidR="002F7139">
        <w:rPr>
          <w:rFonts w:hint="eastAsia"/>
        </w:rPr>
        <w:t>）</w:t>
      </w:r>
    </w:p>
    <w:p w14:paraId="5778CBD5" w14:textId="1BEA7E1E"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中央政府應推動地球永續發展相關之國際合作與技術協助、工程技術及試驗研究，並公開相關資訊，以利國民、事業運用；地方政府亦得視需要辦理之。</w:t>
      </w:r>
    </w:p>
    <w:p w14:paraId="6C9F2611" w14:textId="77777777" w:rsidR="002F7139" w:rsidRDefault="00700943" w:rsidP="00AE2862">
      <w:pPr>
        <w:pStyle w:val="2"/>
      </w:pPr>
      <w:r>
        <w:rPr>
          <w:rFonts w:hint="eastAsia"/>
        </w:rPr>
        <w:t>第</w:t>
      </w:r>
      <w:r>
        <w:rPr>
          <w:rFonts w:hint="eastAsia"/>
        </w:rPr>
        <w:t>13</w:t>
      </w:r>
      <w:r>
        <w:rPr>
          <w:rFonts w:hint="eastAsia"/>
        </w:rPr>
        <w:t>條</w:t>
      </w:r>
      <w:r w:rsidR="00171E1D">
        <w:rPr>
          <w:rFonts w:hint="eastAsia"/>
        </w:rPr>
        <w:t>（</w:t>
      </w:r>
      <w:r w:rsidR="00C26A6E" w:rsidRPr="00171E1D">
        <w:rPr>
          <w:rFonts w:hint="eastAsia"/>
        </w:rPr>
        <w:t>環境保護人才培育及專責單位、人員之設置</w:t>
      </w:r>
      <w:r w:rsidR="002F7139">
        <w:rPr>
          <w:rFonts w:hint="eastAsia"/>
        </w:rPr>
        <w:t>）</w:t>
      </w:r>
    </w:p>
    <w:p w14:paraId="19270533" w14:textId="4A540752"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中央政府應辦理環境保護專業訓練，建立環境保護專業人員資格制度，以提升環境保護工作品質</w:t>
      </w:r>
      <w:r>
        <w:rPr>
          <w:rFonts w:ascii="Arial Unicode MS" w:hAnsi="Arial Unicode MS" w:hint="eastAsia"/>
          <w:color w:val="17365D"/>
          <w:sz w:val="20"/>
        </w:rPr>
        <w:t>。</w:t>
      </w:r>
    </w:p>
    <w:p w14:paraId="3D9334D1" w14:textId="519B21C6"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事業應依環境保護相關法規設置環境保護專責單位或人員，並訂定環境保護計畫實施之。</w:t>
      </w:r>
    </w:p>
    <w:p w14:paraId="021822DF" w14:textId="77777777" w:rsidR="002F7139" w:rsidRDefault="00700943" w:rsidP="00AE2862">
      <w:pPr>
        <w:pStyle w:val="2"/>
      </w:pPr>
      <w:r>
        <w:rPr>
          <w:rFonts w:hint="eastAsia"/>
        </w:rPr>
        <w:t>第</w:t>
      </w:r>
      <w:r>
        <w:rPr>
          <w:rFonts w:hint="eastAsia"/>
        </w:rPr>
        <w:t>14</w:t>
      </w:r>
      <w:r>
        <w:rPr>
          <w:rFonts w:hint="eastAsia"/>
        </w:rPr>
        <w:t>條</w:t>
      </w:r>
      <w:r w:rsidR="00171E1D">
        <w:rPr>
          <w:rFonts w:hint="eastAsia"/>
        </w:rPr>
        <w:t>（</w:t>
      </w:r>
      <w:r w:rsidR="00C26A6E" w:rsidRPr="00171E1D">
        <w:rPr>
          <w:rFonts w:hint="eastAsia"/>
        </w:rPr>
        <w:t>環保專庭之設置或指定專人辦理</w:t>
      </w:r>
      <w:r w:rsidR="002F7139">
        <w:rPr>
          <w:rFonts w:hint="eastAsia"/>
        </w:rPr>
        <w:t>）</w:t>
      </w:r>
    </w:p>
    <w:p w14:paraId="28B37B9B" w14:textId="6505CD37"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法院為審理環境保護糾紛案件，得設立專庭或指定專人辦理</w:t>
      </w:r>
      <w:r>
        <w:rPr>
          <w:rFonts w:ascii="Arial Unicode MS" w:hAnsi="Arial Unicode MS" w:hint="eastAsia"/>
          <w:color w:val="17365D"/>
          <w:sz w:val="20"/>
        </w:rPr>
        <w:t>。</w:t>
      </w:r>
    </w:p>
    <w:p w14:paraId="5BA6A672" w14:textId="11A6C995" w:rsidR="00F51EAF" w:rsidRPr="00171E1D" w:rsidRDefault="002F7139" w:rsidP="00F51EAF">
      <w:pPr>
        <w:ind w:left="119"/>
        <w:rPr>
          <w:rFonts w:ascii="Arial Unicode MS" w:hAnsi="Arial Unicode MS"/>
          <w:color w:val="666699"/>
          <w:sz w:val="20"/>
        </w:rPr>
      </w:pPr>
      <w:r>
        <w:rPr>
          <w:rFonts w:ascii="Arial Unicode MS" w:hAnsi="Arial Unicode MS" w:hint="eastAsia"/>
          <w:color w:val="17365D"/>
          <w:sz w:val="20"/>
        </w:rPr>
        <w:t xml:space="preserve">　　　　</w:t>
      </w:r>
      <w:r w:rsidR="00F51EAF" w:rsidRPr="00171E1D">
        <w:rPr>
          <w:rFonts w:ascii="Arial Unicode MS" w:hAnsi="Arial Unicode MS" w:hint="eastAsia"/>
          <w:color w:val="666699"/>
          <w:sz w:val="20"/>
        </w:rPr>
        <w:t xml:space="preserve">　　　　　　　　　　　　　　　　　　　　　　　　　　　　　　　　　　　　　　　　</w:t>
      </w:r>
      <w:hyperlink w:anchor="a章節索引" w:history="1">
        <w:r w:rsidR="00F51EAF" w:rsidRPr="00171E1D">
          <w:rPr>
            <w:rStyle w:val="a3"/>
            <w:rFonts w:ascii="Arial Unicode MS" w:hAnsi="Arial Unicode MS" w:hint="eastAsia"/>
            <w:sz w:val="18"/>
          </w:rPr>
          <w:t>回索引</w:t>
        </w:r>
      </w:hyperlink>
      <w:r w:rsidR="006B788F">
        <w:rPr>
          <w:rFonts w:ascii="Arial Unicode MS" w:hAnsi="Arial Unicode MS" w:hint="eastAsia"/>
          <w:color w:val="808000"/>
          <w:sz w:val="18"/>
        </w:rPr>
        <w:t>〉〉</w:t>
      </w:r>
    </w:p>
    <w:p w14:paraId="234C52E9" w14:textId="77777777" w:rsidR="00C26A6E" w:rsidRPr="00171E1D" w:rsidRDefault="00C26A6E" w:rsidP="00A85E5E">
      <w:pPr>
        <w:pStyle w:val="1"/>
      </w:pPr>
      <w:bookmarkStart w:id="10" w:name="_第二章__規劃及保護"/>
      <w:bookmarkEnd w:id="10"/>
      <w:r w:rsidRPr="00171E1D">
        <w:rPr>
          <w:rFonts w:hint="eastAsia"/>
        </w:rPr>
        <w:lastRenderedPageBreak/>
        <w:t>第二章　　規劃及保護</w:t>
      </w:r>
    </w:p>
    <w:p w14:paraId="2BEEE8E7" w14:textId="77777777" w:rsidR="002F7139" w:rsidRDefault="00700943" w:rsidP="00AE2862">
      <w:pPr>
        <w:pStyle w:val="2"/>
      </w:pPr>
      <w:r>
        <w:rPr>
          <w:rFonts w:hint="eastAsia"/>
        </w:rPr>
        <w:t>第</w:t>
      </w:r>
      <w:r>
        <w:rPr>
          <w:rFonts w:hint="eastAsia"/>
        </w:rPr>
        <w:t>15</w:t>
      </w:r>
      <w:r>
        <w:rPr>
          <w:rFonts w:hint="eastAsia"/>
        </w:rPr>
        <w:t>條</w:t>
      </w:r>
      <w:r w:rsidR="00171E1D">
        <w:rPr>
          <w:rFonts w:hint="eastAsia"/>
        </w:rPr>
        <w:t>（</w:t>
      </w:r>
      <w:r w:rsidR="00C26A6E" w:rsidRPr="00171E1D">
        <w:rPr>
          <w:rFonts w:hint="eastAsia"/>
        </w:rPr>
        <w:t>建立及公開環境資訊系統</w:t>
      </w:r>
      <w:r w:rsidR="002F7139">
        <w:rPr>
          <w:rFonts w:hint="eastAsia"/>
        </w:rPr>
        <w:t>）</w:t>
      </w:r>
    </w:p>
    <w:p w14:paraId="6B412658" w14:textId="2D238807"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各級政府對於轄區內之自然、社會及人文環境狀況，應予蒐集、調查及評估，建立環境資訊系統，並供查詢</w:t>
      </w:r>
      <w:r>
        <w:rPr>
          <w:rFonts w:ascii="Arial Unicode MS" w:hAnsi="Arial Unicode MS" w:hint="eastAsia"/>
          <w:color w:val="17365D"/>
          <w:sz w:val="20"/>
        </w:rPr>
        <w:t>。</w:t>
      </w:r>
    </w:p>
    <w:p w14:paraId="583EC078" w14:textId="67C3233C"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前項環境資訊，應定期公開。</w:t>
      </w:r>
    </w:p>
    <w:p w14:paraId="0EEE1D43" w14:textId="77777777" w:rsidR="002F7139" w:rsidRDefault="00700943" w:rsidP="00AE2862">
      <w:pPr>
        <w:pStyle w:val="2"/>
      </w:pPr>
      <w:r>
        <w:rPr>
          <w:rFonts w:hint="eastAsia"/>
        </w:rPr>
        <w:t>第</w:t>
      </w:r>
      <w:r>
        <w:rPr>
          <w:rFonts w:hint="eastAsia"/>
        </w:rPr>
        <w:t>16</w:t>
      </w:r>
      <w:r>
        <w:rPr>
          <w:rFonts w:hint="eastAsia"/>
        </w:rPr>
        <w:t>條</w:t>
      </w:r>
      <w:r w:rsidR="00171E1D">
        <w:rPr>
          <w:rFonts w:hint="eastAsia"/>
        </w:rPr>
        <w:t>（</w:t>
      </w:r>
      <w:r w:rsidR="00C26A6E" w:rsidRPr="00171E1D">
        <w:rPr>
          <w:rFonts w:hint="eastAsia"/>
        </w:rPr>
        <w:t>土地利用及規劃</w:t>
      </w:r>
      <w:r w:rsidR="002F7139">
        <w:rPr>
          <w:rFonts w:hint="eastAsia"/>
        </w:rPr>
        <w:t>）</w:t>
      </w:r>
    </w:p>
    <w:p w14:paraId="314DC173" w14:textId="3A3B47CE"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各級政府對於土地之開發利用，應以高品質寧適和諧之環境為目標，並基於環境資源總量管制理念，進行合理規劃並推動實施</w:t>
      </w:r>
      <w:r>
        <w:rPr>
          <w:rFonts w:ascii="Arial Unicode MS" w:hAnsi="Arial Unicode MS" w:hint="eastAsia"/>
          <w:color w:val="17365D"/>
          <w:sz w:val="20"/>
        </w:rPr>
        <w:t>。</w:t>
      </w:r>
    </w:p>
    <w:p w14:paraId="213BC04F" w14:textId="2BF2BE47"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前項規劃，應優先考慮環境保護相關設施。</w:t>
      </w:r>
    </w:p>
    <w:p w14:paraId="78132E1A" w14:textId="77777777" w:rsidR="002F7139" w:rsidRDefault="00700943" w:rsidP="00AE2862">
      <w:pPr>
        <w:pStyle w:val="2"/>
      </w:pPr>
      <w:r>
        <w:rPr>
          <w:rFonts w:hint="eastAsia"/>
        </w:rPr>
        <w:t>第</w:t>
      </w:r>
      <w:r>
        <w:rPr>
          <w:rFonts w:hint="eastAsia"/>
        </w:rPr>
        <w:t>17</w:t>
      </w:r>
      <w:r>
        <w:rPr>
          <w:rFonts w:hint="eastAsia"/>
        </w:rPr>
        <w:t>條</w:t>
      </w:r>
      <w:r w:rsidR="00171E1D">
        <w:rPr>
          <w:rFonts w:hint="eastAsia"/>
        </w:rPr>
        <w:t>（</w:t>
      </w:r>
      <w:r w:rsidR="00C26A6E" w:rsidRPr="00171E1D">
        <w:rPr>
          <w:rFonts w:hint="eastAsia"/>
        </w:rPr>
        <w:t>區域劃分及活動限制</w:t>
      </w:r>
      <w:r w:rsidR="002F7139">
        <w:rPr>
          <w:rFonts w:hint="eastAsia"/>
        </w:rPr>
        <w:t>）</w:t>
      </w:r>
    </w:p>
    <w:p w14:paraId="07927CAB" w14:textId="38038D45"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各級政府為維護自然、社會、人文環境，得視自然條件、實際需要及兼顧原住民權益劃定區域，採取必要之措施或限制人為活動及使用</w:t>
      </w:r>
      <w:r>
        <w:rPr>
          <w:rFonts w:ascii="Arial Unicode MS" w:hAnsi="Arial Unicode MS" w:hint="eastAsia"/>
          <w:color w:val="17365D"/>
          <w:sz w:val="20"/>
        </w:rPr>
        <w:t>。</w:t>
      </w:r>
    </w:p>
    <w:p w14:paraId="38AFFB03" w14:textId="714B592F"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各級政府應視土地使用及人為活動限制程度，予以補償及回饋。</w:t>
      </w:r>
    </w:p>
    <w:p w14:paraId="35DB8F8B" w14:textId="77777777" w:rsidR="002F7139" w:rsidRDefault="00700943" w:rsidP="00AE2862">
      <w:pPr>
        <w:pStyle w:val="2"/>
      </w:pPr>
      <w:r>
        <w:rPr>
          <w:rFonts w:hint="eastAsia"/>
        </w:rPr>
        <w:t>第</w:t>
      </w:r>
      <w:r>
        <w:rPr>
          <w:rFonts w:hint="eastAsia"/>
        </w:rPr>
        <w:t>18</w:t>
      </w:r>
      <w:r>
        <w:rPr>
          <w:rFonts w:hint="eastAsia"/>
        </w:rPr>
        <w:t>條</w:t>
      </w:r>
      <w:r w:rsidR="00171E1D">
        <w:rPr>
          <w:rFonts w:hint="eastAsia"/>
        </w:rPr>
        <w:t>（</w:t>
      </w:r>
      <w:r w:rsidR="00C26A6E" w:rsidRPr="00171E1D">
        <w:rPr>
          <w:rFonts w:hint="eastAsia"/>
        </w:rPr>
        <w:t>自然保育</w:t>
      </w:r>
      <w:r w:rsidR="002F7139">
        <w:rPr>
          <w:rFonts w:hint="eastAsia"/>
        </w:rPr>
        <w:t>）</w:t>
      </w:r>
    </w:p>
    <w:p w14:paraId="02194EB5" w14:textId="0369E376"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各級政府應積極保育野生生物，確保生物多樣性；保護森林、潟湖、濕地環境，維護多樣化自然環境，並加強水資源保育、水土保持及植被綠化工作</w:t>
      </w:r>
      <w:r>
        <w:rPr>
          <w:rFonts w:ascii="Arial Unicode MS" w:hAnsi="Arial Unicode MS" w:hint="eastAsia"/>
          <w:color w:val="17365D"/>
          <w:sz w:val="20"/>
        </w:rPr>
        <w:t>。</w:t>
      </w:r>
    </w:p>
    <w:p w14:paraId="440FBAAC" w14:textId="2100D3CF" w:rsidR="00F51EAF" w:rsidRPr="00171E1D" w:rsidRDefault="002F7139" w:rsidP="00F51EAF">
      <w:pPr>
        <w:ind w:left="119"/>
        <w:rPr>
          <w:rFonts w:ascii="Arial Unicode MS" w:hAnsi="Arial Unicode MS"/>
          <w:color w:val="666699"/>
          <w:sz w:val="20"/>
        </w:rPr>
      </w:pPr>
      <w:r>
        <w:rPr>
          <w:rFonts w:ascii="Arial Unicode MS" w:hAnsi="Arial Unicode MS" w:hint="eastAsia"/>
          <w:color w:val="17365D"/>
          <w:sz w:val="20"/>
        </w:rPr>
        <w:t xml:space="preserve">　　　　</w:t>
      </w:r>
      <w:r w:rsidR="00F51EAF" w:rsidRPr="00171E1D">
        <w:rPr>
          <w:rFonts w:ascii="Arial Unicode MS" w:hAnsi="Arial Unicode MS" w:hint="eastAsia"/>
          <w:color w:val="666699"/>
          <w:sz w:val="20"/>
        </w:rPr>
        <w:t xml:space="preserve">　　　　　　　　　　　　　　　　　　　　　　　　　　　　　　　　　　　　　　　　</w:t>
      </w:r>
      <w:hyperlink w:anchor="a章節索引" w:history="1">
        <w:r w:rsidR="00F51EAF" w:rsidRPr="00171E1D">
          <w:rPr>
            <w:rStyle w:val="a3"/>
            <w:rFonts w:ascii="Arial Unicode MS" w:hAnsi="Arial Unicode MS" w:hint="eastAsia"/>
            <w:sz w:val="18"/>
          </w:rPr>
          <w:t>回索引</w:t>
        </w:r>
      </w:hyperlink>
      <w:r w:rsidR="006B788F">
        <w:rPr>
          <w:rFonts w:ascii="Arial Unicode MS" w:hAnsi="Arial Unicode MS" w:hint="eastAsia"/>
          <w:color w:val="808000"/>
          <w:sz w:val="18"/>
        </w:rPr>
        <w:t>〉〉</w:t>
      </w:r>
    </w:p>
    <w:p w14:paraId="2A7935FF" w14:textId="77777777" w:rsidR="00C26A6E" w:rsidRPr="00171E1D" w:rsidRDefault="00C26A6E" w:rsidP="00A85E5E">
      <w:pPr>
        <w:pStyle w:val="1"/>
      </w:pPr>
      <w:bookmarkStart w:id="11" w:name="_第三章__防制及救濟"/>
      <w:bookmarkEnd w:id="11"/>
      <w:r w:rsidRPr="00171E1D">
        <w:rPr>
          <w:rFonts w:hint="eastAsia"/>
        </w:rPr>
        <w:t>第三章　　防制及救濟</w:t>
      </w:r>
    </w:p>
    <w:p w14:paraId="764047B4" w14:textId="77777777" w:rsidR="002F7139" w:rsidRDefault="00700943" w:rsidP="00AE2862">
      <w:pPr>
        <w:pStyle w:val="2"/>
      </w:pPr>
      <w:r>
        <w:rPr>
          <w:rFonts w:hint="eastAsia"/>
        </w:rPr>
        <w:t>第</w:t>
      </w:r>
      <w:r>
        <w:rPr>
          <w:rFonts w:hint="eastAsia"/>
        </w:rPr>
        <w:t>19</w:t>
      </w:r>
      <w:r>
        <w:rPr>
          <w:rFonts w:hint="eastAsia"/>
        </w:rPr>
        <w:t>條</w:t>
      </w:r>
      <w:r w:rsidR="00171E1D">
        <w:rPr>
          <w:rFonts w:hint="eastAsia"/>
        </w:rPr>
        <w:t>（</w:t>
      </w:r>
      <w:r w:rsidR="00C26A6E" w:rsidRPr="00171E1D">
        <w:rPr>
          <w:rFonts w:hint="eastAsia"/>
        </w:rPr>
        <w:t>非再生性及稀有資源之保護</w:t>
      </w:r>
      <w:r w:rsidR="002F7139">
        <w:rPr>
          <w:rFonts w:hint="eastAsia"/>
        </w:rPr>
        <w:t>）</w:t>
      </w:r>
    </w:p>
    <w:p w14:paraId="6F8B9BAF" w14:textId="6C0E6020"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各級政府對非再生性資源，應採預防措施予以保護；對於已超限或瀕臨極限利用之稀有資源，應定期調查評估，並採改善或限制措施。</w:t>
      </w:r>
    </w:p>
    <w:p w14:paraId="7F4A9CBB" w14:textId="77777777" w:rsidR="002F7139" w:rsidRDefault="00700943" w:rsidP="00AE2862">
      <w:pPr>
        <w:pStyle w:val="2"/>
      </w:pPr>
      <w:r>
        <w:rPr>
          <w:rFonts w:hint="eastAsia"/>
        </w:rPr>
        <w:t>第</w:t>
      </w:r>
      <w:r>
        <w:rPr>
          <w:rFonts w:hint="eastAsia"/>
        </w:rPr>
        <w:t>20</w:t>
      </w:r>
      <w:r>
        <w:rPr>
          <w:rFonts w:hint="eastAsia"/>
        </w:rPr>
        <w:t>條</w:t>
      </w:r>
      <w:r w:rsidR="00171E1D">
        <w:rPr>
          <w:rFonts w:hint="eastAsia"/>
        </w:rPr>
        <w:t>（</w:t>
      </w:r>
      <w:r w:rsidR="00C26A6E" w:rsidRPr="00171E1D">
        <w:rPr>
          <w:rFonts w:hint="eastAsia"/>
        </w:rPr>
        <w:t>地下水、地層及海岸之保護</w:t>
      </w:r>
      <w:r w:rsidR="002F7139">
        <w:rPr>
          <w:rFonts w:hint="eastAsia"/>
        </w:rPr>
        <w:t>）</w:t>
      </w:r>
    </w:p>
    <w:p w14:paraId="112F029E" w14:textId="637DEE21"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各級政府應積極採取各種措施，保護海洋環境、強化海岸管理，並防制地下水超限利用、地層下陷及海岸侵蝕。</w:t>
      </w:r>
    </w:p>
    <w:p w14:paraId="41C372D2" w14:textId="77777777" w:rsidR="002F7139" w:rsidRDefault="00700943" w:rsidP="00AE2862">
      <w:pPr>
        <w:pStyle w:val="2"/>
      </w:pPr>
      <w:r>
        <w:rPr>
          <w:rFonts w:hint="eastAsia"/>
        </w:rPr>
        <w:t>第</w:t>
      </w:r>
      <w:r>
        <w:rPr>
          <w:rFonts w:hint="eastAsia"/>
        </w:rPr>
        <w:t>21</w:t>
      </w:r>
      <w:r>
        <w:rPr>
          <w:rFonts w:hint="eastAsia"/>
        </w:rPr>
        <w:t>條</w:t>
      </w:r>
      <w:r w:rsidR="00171E1D">
        <w:rPr>
          <w:rFonts w:hint="eastAsia"/>
        </w:rPr>
        <w:t>（</w:t>
      </w:r>
      <w:r w:rsidR="00C26A6E" w:rsidRPr="00171E1D">
        <w:rPr>
          <w:rFonts w:hint="eastAsia"/>
        </w:rPr>
        <w:t>抑制溫室效應</w:t>
      </w:r>
      <w:r w:rsidR="002F7139">
        <w:rPr>
          <w:rFonts w:hint="eastAsia"/>
        </w:rPr>
        <w:t>）</w:t>
      </w:r>
    </w:p>
    <w:p w14:paraId="10EA93D0" w14:textId="4CF17EDA"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各級政府應積極採二氧化碳排放抑制措施，並訂定相關計畫，防止溫室效應。</w:t>
      </w:r>
    </w:p>
    <w:p w14:paraId="67049421" w14:textId="77777777" w:rsidR="002F7139" w:rsidRDefault="00700943" w:rsidP="00AE2862">
      <w:pPr>
        <w:pStyle w:val="2"/>
      </w:pPr>
      <w:r>
        <w:rPr>
          <w:rFonts w:hint="eastAsia"/>
        </w:rPr>
        <w:t>第</w:t>
      </w:r>
      <w:r>
        <w:rPr>
          <w:rFonts w:hint="eastAsia"/>
        </w:rPr>
        <w:t>22</w:t>
      </w:r>
      <w:r>
        <w:rPr>
          <w:rFonts w:hint="eastAsia"/>
        </w:rPr>
        <w:t>條</w:t>
      </w:r>
      <w:r w:rsidR="00171E1D">
        <w:rPr>
          <w:rFonts w:hint="eastAsia"/>
        </w:rPr>
        <w:t>（</w:t>
      </w:r>
      <w:r w:rsidR="00C26A6E" w:rsidRPr="00171E1D">
        <w:rPr>
          <w:rFonts w:hint="eastAsia"/>
        </w:rPr>
        <w:t>採預防及醫療保健措施</w:t>
      </w:r>
      <w:r w:rsidR="002F7139">
        <w:rPr>
          <w:rFonts w:hint="eastAsia"/>
        </w:rPr>
        <w:t>）</w:t>
      </w:r>
    </w:p>
    <w:p w14:paraId="22FD4617" w14:textId="716B11DD"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各級政府應積極研究、建立環境與健康風險評估制度，採預防及醫療保健措施，降低健康風險，預防及減輕與環境有關之疾病。</w:t>
      </w:r>
    </w:p>
    <w:p w14:paraId="3475C241" w14:textId="77777777" w:rsidR="002F7139" w:rsidRDefault="00700943" w:rsidP="00AE2862">
      <w:pPr>
        <w:pStyle w:val="2"/>
      </w:pPr>
      <w:r>
        <w:rPr>
          <w:rFonts w:hint="eastAsia"/>
        </w:rPr>
        <w:t>第</w:t>
      </w:r>
      <w:r>
        <w:rPr>
          <w:rFonts w:hint="eastAsia"/>
        </w:rPr>
        <w:t>23</w:t>
      </w:r>
      <w:r>
        <w:rPr>
          <w:rFonts w:hint="eastAsia"/>
        </w:rPr>
        <w:t>條</w:t>
      </w:r>
      <w:r w:rsidR="00171E1D">
        <w:rPr>
          <w:rFonts w:hint="eastAsia"/>
        </w:rPr>
        <w:t>（</w:t>
      </w:r>
      <w:r w:rsidR="00C26A6E" w:rsidRPr="00171E1D">
        <w:rPr>
          <w:rFonts w:hint="eastAsia"/>
        </w:rPr>
        <w:t>非核家園目標</w:t>
      </w:r>
      <w:r w:rsidR="002F7139">
        <w:rPr>
          <w:rFonts w:hint="eastAsia"/>
        </w:rPr>
        <w:t>）</w:t>
      </w:r>
    </w:p>
    <w:p w14:paraId="054E8157" w14:textId="34DDD2EE"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政府應訂定計畫，逐步達成非核家園目標；並應加強核能安全管制、輻射防護、放射性物料管理及環境輻射偵測，確保民眾生活避免輻射危害。</w:t>
      </w:r>
    </w:p>
    <w:p w14:paraId="354DE62E" w14:textId="77777777" w:rsidR="002F7139" w:rsidRDefault="00700943" w:rsidP="00AE2862">
      <w:pPr>
        <w:pStyle w:val="2"/>
      </w:pPr>
      <w:r>
        <w:rPr>
          <w:rFonts w:hint="eastAsia"/>
        </w:rPr>
        <w:t>第</w:t>
      </w:r>
      <w:r>
        <w:rPr>
          <w:rFonts w:hint="eastAsia"/>
        </w:rPr>
        <w:t>24</w:t>
      </w:r>
      <w:r>
        <w:rPr>
          <w:rFonts w:hint="eastAsia"/>
        </w:rPr>
        <w:t>條</w:t>
      </w:r>
      <w:r w:rsidR="00171E1D">
        <w:rPr>
          <w:rFonts w:hint="eastAsia"/>
        </w:rPr>
        <w:t>（</w:t>
      </w:r>
      <w:r w:rsidR="00C26A6E" w:rsidRPr="00171E1D">
        <w:rPr>
          <w:rFonts w:hint="eastAsia"/>
        </w:rPr>
        <w:t>環境影響評估制度</w:t>
      </w:r>
      <w:r w:rsidR="002F7139">
        <w:rPr>
          <w:rFonts w:hint="eastAsia"/>
        </w:rPr>
        <w:t>）</w:t>
      </w:r>
    </w:p>
    <w:p w14:paraId="22CE1B05" w14:textId="462C3C6C"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中央政府應建立環境影響評估制度，預防及減輕政府政策或開發行為對環境造成之不良影響。</w:t>
      </w:r>
    </w:p>
    <w:p w14:paraId="190039B2" w14:textId="77777777" w:rsidR="002F7139" w:rsidRDefault="00700943" w:rsidP="00AE2862">
      <w:pPr>
        <w:pStyle w:val="2"/>
      </w:pPr>
      <w:r>
        <w:rPr>
          <w:rFonts w:hint="eastAsia"/>
        </w:rPr>
        <w:lastRenderedPageBreak/>
        <w:t>第</w:t>
      </w:r>
      <w:r>
        <w:rPr>
          <w:rFonts w:hint="eastAsia"/>
        </w:rPr>
        <w:t>25</w:t>
      </w:r>
      <w:r>
        <w:rPr>
          <w:rFonts w:hint="eastAsia"/>
        </w:rPr>
        <w:t>條</w:t>
      </w:r>
      <w:r w:rsidR="00171E1D">
        <w:rPr>
          <w:rFonts w:hint="eastAsia"/>
        </w:rPr>
        <w:t>（</w:t>
      </w:r>
      <w:r w:rsidR="00C26A6E" w:rsidRPr="00171E1D">
        <w:rPr>
          <w:rFonts w:hint="eastAsia"/>
        </w:rPr>
        <w:t>環境品質及管制標準</w:t>
      </w:r>
      <w:r w:rsidR="002F7139">
        <w:rPr>
          <w:rFonts w:hint="eastAsia"/>
        </w:rPr>
        <w:t>）</w:t>
      </w:r>
    </w:p>
    <w:p w14:paraId="3B89F1AA" w14:textId="5738DBBF"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中央政府應視社會需要及科技水準，訂定階段性環境品質及管制標準</w:t>
      </w:r>
      <w:r>
        <w:rPr>
          <w:rFonts w:ascii="Arial Unicode MS" w:hAnsi="Arial Unicode MS" w:hint="eastAsia"/>
          <w:color w:val="17365D"/>
          <w:sz w:val="20"/>
        </w:rPr>
        <w:t>。</w:t>
      </w:r>
    </w:p>
    <w:p w14:paraId="16FB2615" w14:textId="509D6A05"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Pr="00171E1D">
        <w:rPr>
          <w:rFonts w:ascii="Arial Unicode MS" w:hAnsi="Arial Unicode MS" w:hint="eastAsia"/>
          <w:color w:val="666699"/>
          <w:sz w:val="20"/>
        </w:rPr>
        <w:t>地方政府為達成前項環境品質標準，得視其轄區內自然及社會條件，訂定較嚴之管制標準，經中央政府備查後，適用於該轄區</w:t>
      </w:r>
      <w:r>
        <w:rPr>
          <w:rFonts w:ascii="Arial Unicode MS" w:hAnsi="Arial Unicode MS" w:hint="eastAsia"/>
          <w:color w:val="17365D"/>
          <w:sz w:val="20"/>
        </w:rPr>
        <w:t>。</w:t>
      </w:r>
    </w:p>
    <w:p w14:paraId="48123843" w14:textId="10402A17"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3</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各級政府應採必要措施，以達成前二項之標準。</w:t>
      </w:r>
    </w:p>
    <w:p w14:paraId="66B21AB7" w14:textId="77777777" w:rsidR="002F7139" w:rsidRDefault="00700943" w:rsidP="00AE2862">
      <w:pPr>
        <w:pStyle w:val="2"/>
      </w:pPr>
      <w:r>
        <w:rPr>
          <w:rFonts w:hint="eastAsia"/>
        </w:rPr>
        <w:t>第</w:t>
      </w:r>
      <w:r>
        <w:rPr>
          <w:rFonts w:hint="eastAsia"/>
        </w:rPr>
        <w:t>26</w:t>
      </w:r>
      <w:r>
        <w:rPr>
          <w:rFonts w:hint="eastAsia"/>
        </w:rPr>
        <w:t>條</w:t>
      </w:r>
      <w:r w:rsidR="00171E1D">
        <w:rPr>
          <w:rFonts w:hint="eastAsia"/>
        </w:rPr>
        <w:t>（</w:t>
      </w:r>
      <w:r w:rsidR="00C26A6E" w:rsidRPr="00171E1D">
        <w:rPr>
          <w:rFonts w:hint="eastAsia"/>
        </w:rPr>
        <w:t>建立事前許可、機動查核、事業自動申報及管制與稽查制度</w:t>
      </w:r>
      <w:r w:rsidR="002F7139">
        <w:rPr>
          <w:rFonts w:hint="eastAsia"/>
        </w:rPr>
        <w:t>）</w:t>
      </w:r>
    </w:p>
    <w:p w14:paraId="40C921EF" w14:textId="114AD290"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中央政府對於環境污染行為，應建立事前許可、機動查核及事業自動申報制度，以有效管制污染源</w:t>
      </w:r>
      <w:r>
        <w:rPr>
          <w:rFonts w:ascii="Arial Unicode MS" w:hAnsi="Arial Unicode MS" w:hint="eastAsia"/>
          <w:color w:val="17365D"/>
          <w:sz w:val="20"/>
        </w:rPr>
        <w:t>。</w:t>
      </w:r>
    </w:p>
    <w:p w14:paraId="5B8DD338" w14:textId="6E9CF894"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中央政府對於稀有資源及自然與文化資產之利用，應建立事前許可、管制及稽查制度，以有效保育自然資源。</w:t>
      </w:r>
    </w:p>
    <w:p w14:paraId="51695D1E" w14:textId="77777777" w:rsidR="002F7139" w:rsidRDefault="00700943" w:rsidP="00AE2862">
      <w:pPr>
        <w:pStyle w:val="2"/>
      </w:pPr>
      <w:r>
        <w:rPr>
          <w:rFonts w:hint="eastAsia"/>
        </w:rPr>
        <w:t>第</w:t>
      </w:r>
      <w:r>
        <w:rPr>
          <w:rFonts w:hint="eastAsia"/>
        </w:rPr>
        <w:t>27</w:t>
      </w:r>
      <w:r>
        <w:rPr>
          <w:rFonts w:hint="eastAsia"/>
        </w:rPr>
        <w:t>條</w:t>
      </w:r>
      <w:r w:rsidR="00171E1D">
        <w:rPr>
          <w:rFonts w:hint="eastAsia"/>
        </w:rPr>
        <w:t>（</w:t>
      </w:r>
      <w:r w:rsidR="00C26A6E" w:rsidRPr="00171E1D">
        <w:rPr>
          <w:rFonts w:hint="eastAsia"/>
        </w:rPr>
        <w:t>監測及預警制度</w:t>
      </w:r>
      <w:r w:rsidR="002F7139">
        <w:rPr>
          <w:rFonts w:hint="eastAsia"/>
        </w:rPr>
        <w:t>）</w:t>
      </w:r>
    </w:p>
    <w:p w14:paraId="1E26A1FB" w14:textId="3C3A71C2"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各級政府應建立嚴密之環境監測網，定期公告監測結果，並建立預警制度，及採必要措施。</w:t>
      </w:r>
    </w:p>
    <w:p w14:paraId="38628554" w14:textId="77777777" w:rsidR="002F7139" w:rsidRDefault="00700943" w:rsidP="00AE2862">
      <w:pPr>
        <w:pStyle w:val="2"/>
      </w:pPr>
      <w:r>
        <w:rPr>
          <w:rFonts w:hint="eastAsia"/>
        </w:rPr>
        <w:t>第</w:t>
      </w:r>
      <w:r>
        <w:rPr>
          <w:rFonts w:hint="eastAsia"/>
        </w:rPr>
        <w:t>28</w:t>
      </w:r>
      <w:r>
        <w:rPr>
          <w:rFonts w:hint="eastAsia"/>
        </w:rPr>
        <w:t>條</w:t>
      </w:r>
      <w:r w:rsidR="00171E1D">
        <w:rPr>
          <w:rFonts w:hint="eastAsia"/>
        </w:rPr>
        <w:t>（</w:t>
      </w:r>
      <w:r w:rsidR="00C26A6E" w:rsidRPr="00171E1D">
        <w:rPr>
          <w:rFonts w:hint="eastAsia"/>
        </w:rPr>
        <w:t>污染者付費</w:t>
      </w:r>
      <w:r w:rsidR="002F7139">
        <w:rPr>
          <w:rFonts w:hint="eastAsia"/>
        </w:rPr>
        <w:t>）</w:t>
      </w:r>
    </w:p>
    <w:p w14:paraId="45BACFD7" w14:textId="5116D2C9"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環境資源為全體國民世代所有，中央政府應建立環境污染及破壞者付費制度，對污染及破壞者徵收污染防治及環境復育費用，以維護環境之永續利用。</w:t>
      </w:r>
    </w:p>
    <w:p w14:paraId="5225F195" w14:textId="77777777" w:rsidR="002F7139" w:rsidRDefault="00700943" w:rsidP="00AE2862">
      <w:pPr>
        <w:pStyle w:val="2"/>
      </w:pPr>
      <w:r>
        <w:rPr>
          <w:rFonts w:hint="eastAsia"/>
        </w:rPr>
        <w:t>第</w:t>
      </w:r>
      <w:r>
        <w:rPr>
          <w:rFonts w:hint="eastAsia"/>
        </w:rPr>
        <w:t>29</w:t>
      </w:r>
      <w:r>
        <w:rPr>
          <w:rFonts w:hint="eastAsia"/>
        </w:rPr>
        <w:t>條</w:t>
      </w:r>
      <w:r w:rsidR="00171E1D">
        <w:rPr>
          <w:rFonts w:hint="eastAsia"/>
        </w:rPr>
        <w:t>（</w:t>
      </w:r>
      <w:r w:rsidR="00C26A6E" w:rsidRPr="00171E1D">
        <w:rPr>
          <w:rFonts w:hint="eastAsia"/>
        </w:rPr>
        <w:t>國家永續發展委員會之設置</w:t>
      </w:r>
      <w:r w:rsidR="002F7139">
        <w:rPr>
          <w:rFonts w:hint="eastAsia"/>
        </w:rPr>
        <w:t>）</w:t>
      </w:r>
    </w:p>
    <w:p w14:paraId="4792BE35" w14:textId="7E795483"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行政院應設置國家永續發展委員會，負責國家永續發展相關業務之決策，並交由相關部會執行，委員會由政府部門、學者專家及社會團體各三分之一組成。</w:t>
      </w:r>
    </w:p>
    <w:p w14:paraId="7D5CB2AA" w14:textId="77777777" w:rsidR="002F7139" w:rsidRDefault="00700943" w:rsidP="00AE2862">
      <w:pPr>
        <w:pStyle w:val="2"/>
      </w:pPr>
      <w:r>
        <w:rPr>
          <w:rFonts w:hint="eastAsia"/>
        </w:rPr>
        <w:t>第</w:t>
      </w:r>
      <w:r>
        <w:rPr>
          <w:rFonts w:hint="eastAsia"/>
        </w:rPr>
        <w:t>30</w:t>
      </w:r>
      <w:r>
        <w:rPr>
          <w:rFonts w:hint="eastAsia"/>
        </w:rPr>
        <w:t>條</w:t>
      </w:r>
      <w:r w:rsidR="00171E1D">
        <w:rPr>
          <w:rFonts w:hint="eastAsia"/>
        </w:rPr>
        <w:t>（</w:t>
      </w:r>
      <w:r w:rsidR="00C26A6E" w:rsidRPr="00171E1D">
        <w:rPr>
          <w:rFonts w:hint="eastAsia"/>
        </w:rPr>
        <w:t>環境資源專責部會之設置</w:t>
      </w:r>
      <w:r w:rsidR="002F7139">
        <w:rPr>
          <w:rFonts w:hint="eastAsia"/>
        </w:rPr>
        <w:t>）</w:t>
      </w:r>
    </w:p>
    <w:p w14:paraId="4F91362B" w14:textId="286F89A7" w:rsidR="00AD7CDB" w:rsidRPr="00171E1D" w:rsidRDefault="002F7139" w:rsidP="00AD7CDB">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中央政府為有效整合及推動維護環境資源之政策及相關事務，應設置環境資源專責部會。</w:t>
      </w:r>
    </w:p>
    <w:p w14:paraId="45F9374B" w14:textId="77777777" w:rsidR="002F7139" w:rsidRDefault="00C26A6E" w:rsidP="00AE2862">
      <w:pPr>
        <w:pStyle w:val="2"/>
      </w:pPr>
      <w:r w:rsidRPr="00171E1D">
        <w:rPr>
          <w:rFonts w:hint="eastAsia"/>
        </w:rPr>
        <w:t>第</w:t>
      </w:r>
      <w:r w:rsidR="00700943">
        <w:rPr>
          <w:rFonts w:hint="eastAsia"/>
        </w:rPr>
        <w:t>31</w:t>
      </w:r>
      <w:r w:rsidR="00B00F40" w:rsidRPr="00171E1D">
        <w:rPr>
          <w:rFonts w:hint="eastAsia"/>
        </w:rPr>
        <w:t>條</w:t>
      </w:r>
      <w:r w:rsidR="00171E1D">
        <w:rPr>
          <w:rFonts w:hint="eastAsia"/>
        </w:rPr>
        <w:t>（</w:t>
      </w:r>
      <w:r w:rsidRPr="00171E1D">
        <w:rPr>
          <w:rFonts w:hint="eastAsia"/>
        </w:rPr>
        <w:t>各種環境基金之設置</w:t>
      </w:r>
      <w:r w:rsidR="002F7139">
        <w:rPr>
          <w:rFonts w:hint="eastAsia"/>
        </w:rPr>
        <w:t>）</w:t>
      </w:r>
    </w:p>
    <w:p w14:paraId="495480CF" w14:textId="7B2C609D" w:rsidR="00C26A6E" w:rsidRPr="00171E1D" w:rsidRDefault="002F7139" w:rsidP="00AD7CDB">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中央政府應依法律設置各種環境基金，負責環境清理、復育、追查污染源、推動有益於環境發展之事項。</w:t>
      </w:r>
    </w:p>
    <w:p w14:paraId="50FA2A6B" w14:textId="77777777" w:rsidR="002F7139" w:rsidRDefault="00C26A6E" w:rsidP="00AE2862">
      <w:pPr>
        <w:pStyle w:val="2"/>
      </w:pPr>
      <w:r w:rsidRPr="00171E1D">
        <w:rPr>
          <w:rFonts w:hint="eastAsia"/>
        </w:rPr>
        <w:t>第</w:t>
      </w:r>
      <w:r w:rsidR="00700943">
        <w:rPr>
          <w:rFonts w:hint="eastAsia"/>
        </w:rPr>
        <w:t>32</w:t>
      </w:r>
      <w:r w:rsidR="00B00F40" w:rsidRPr="00171E1D">
        <w:rPr>
          <w:rFonts w:hint="eastAsia"/>
        </w:rPr>
        <w:t>條</w:t>
      </w:r>
      <w:r w:rsidR="00171E1D">
        <w:rPr>
          <w:rFonts w:hint="eastAsia"/>
        </w:rPr>
        <w:t>（</w:t>
      </w:r>
      <w:r w:rsidRPr="00171E1D">
        <w:rPr>
          <w:rFonts w:hint="eastAsia"/>
        </w:rPr>
        <w:t>受益者及使用者付費</w:t>
      </w:r>
      <w:r w:rsidR="002F7139">
        <w:rPr>
          <w:rFonts w:hint="eastAsia"/>
        </w:rPr>
        <w:t>）</w:t>
      </w:r>
    </w:p>
    <w:p w14:paraId="7FCAA580" w14:textId="2949A2CE"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各級政府應加強環境保護公共建設，提升環境品質，並對受益者或使用者徵收適度費用</w:t>
      </w:r>
      <w:r>
        <w:rPr>
          <w:rFonts w:ascii="Arial Unicode MS" w:hAnsi="Arial Unicode MS" w:hint="eastAsia"/>
          <w:color w:val="17365D"/>
          <w:sz w:val="20"/>
        </w:rPr>
        <w:t>。</w:t>
      </w:r>
    </w:p>
    <w:p w14:paraId="13B74ED5" w14:textId="1B8A2257"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事業應加強興建相關環境保護處理設施。</w:t>
      </w:r>
    </w:p>
    <w:p w14:paraId="75304008" w14:textId="77777777" w:rsidR="002F7139" w:rsidRDefault="00C26A6E" w:rsidP="00AE2862">
      <w:pPr>
        <w:pStyle w:val="2"/>
      </w:pPr>
      <w:r w:rsidRPr="00171E1D">
        <w:rPr>
          <w:rFonts w:hint="eastAsia"/>
        </w:rPr>
        <w:t>第</w:t>
      </w:r>
      <w:r w:rsidR="00700943">
        <w:rPr>
          <w:rFonts w:hint="eastAsia"/>
        </w:rPr>
        <w:t>33</w:t>
      </w:r>
      <w:r w:rsidR="00B00F40" w:rsidRPr="00171E1D">
        <w:rPr>
          <w:rFonts w:hint="eastAsia"/>
        </w:rPr>
        <w:t>條</w:t>
      </w:r>
      <w:r w:rsidR="00171E1D">
        <w:rPr>
          <w:rFonts w:hint="eastAsia"/>
        </w:rPr>
        <w:t>（</w:t>
      </w:r>
      <w:r w:rsidRPr="00171E1D">
        <w:rPr>
          <w:rFonts w:hint="eastAsia"/>
        </w:rPr>
        <w:t>環境糾紛處理及補償、救濟制度</w:t>
      </w:r>
      <w:r w:rsidR="002F7139">
        <w:rPr>
          <w:rFonts w:hint="eastAsia"/>
        </w:rPr>
        <w:t>）</w:t>
      </w:r>
    </w:p>
    <w:p w14:paraId="0D7ED990" w14:textId="5084A1D2"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中央政府應建立環境糾紛處理制度，加強糾紛原因鑑定技術及舉證責任之教育訓練及研究發展，提供適當糾紛處理機制</w:t>
      </w:r>
      <w:r>
        <w:rPr>
          <w:rFonts w:ascii="Arial Unicode MS" w:hAnsi="Arial Unicode MS" w:hint="eastAsia"/>
          <w:color w:val="17365D"/>
          <w:sz w:val="20"/>
        </w:rPr>
        <w:t>。</w:t>
      </w:r>
    </w:p>
    <w:p w14:paraId="315BFE4A" w14:textId="15E8B7F1"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中央政府應建立環境相關之緊急應變、損害賠償、補償及救濟制度。</w:t>
      </w:r>
    </w:p>
    <w:p w14:paraId="6480B00C" w14:textId="77777777" w:rsidR="002F7139" w:rsidRDefault="00C26A6E" w:rsidP="00AE2862">
      <w:pPr>
        <w:pStyle w:val="2"/>
      </w:pPr>
      <w:bookmarkStart w:id="12" w:name="a34"/>
      <w:bookmarkEnd w:id="12"/>
      <w:r w:rsidRPr="00171E1D">
        <w:rPr>
          <w:rFonts w:hint="eastAsia"/>
        </w:rPr>
        <w:t>第</w:t>
      </w:r>
      <w:r w:rsidR="00700943">
        <w:rPr>
          <w:rFonts w:hint="eastAsia"/>
        </w:rPr>
        <w:t>34</w:t>
      </w:r>
      <w:r w:rsidR="00B00F40" w:rsidRPr="00171E1D">
        <w:rPr>
          <w:rFonts w:hint="eastAsia"/>
        </w:rPr>
        <w:t>條</w:t>
      </w:r>
      <w:r w:rsidR="00171E1D">
        <w:rPr>
          <w:rFonts w:hint="eastAsia"/>
        </w:rPr>
        <w:t>（</w:t>
      </w:r>
      <w:r w:rsidRPr="00171E1D">
        <w:rPr>
          <w:rFonts w:hint="eastAsia"/>
        </w:rPr>
        <w:t>公民訴訟</w:t>
      </w:r>
      <w:r w:rsidR="002F7139">
        <w:rPr>
          <w:rFonts w:hint="eastAsia"/>
        </w:rPr>
        <w:t>）</w:t>
      </w:r>
    </w:p>
    <w:p w14:paraId="6D6ABB81" w14:textId="08C74AA9"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各級政府疏於執行時，人民或公益團體得依法律規定以主管機關為被告，向行政法院提起訴訟</w:t>
      </w:r>
      <w:r>
        <w:rPr>
          <w:rFonts w:ascii="Arial Unicode MS" w:hAnsi="Arial Unicode MS" w:hint="eastAsia"/>
          <w:color w:val="17365D"/>
          <w:sz w:val="20"/>
        </w:rPr>
        <w:t>。</w:t>
      </w:r>
    </w:p>
    <w:p w14:paraId="74066811" w14:textId="3ABF6AA2" w:rsidR="002F7139"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行政法院為判決時，得依職權判令被告機關支付適當律師費用、監測鑑定費用或其他訴訟費用予對維護環境品質有具體貢獻之原告</w:t>
      </w:r>
      <w:r>
        <w:rPr>
          <w:rFonts w:ascii="Arial Unicode MS" w:hAnsi="Arial Unicode MS" w:hint="eastAsia"/>
          <w:color w:val="666699"/>
          <w:sz w:val="20"/>
        </w:rPr>
        <w:t>。</w:t>
      </w:r>
    </w:p>
    <w:p w14:paraId="5C9B9867" w14:textId="6B187242" w:rsidR="00F51EAF" w:rsidRPr="00171E1D" w:rsidRDefault="002F7139" w:rsidP="00F51EAF">
      <w:pPr>
        <w:ind w:left="119"/>
        <w:rPr>
          <w:rFonts w:ascii="Arial Unicode MS" w:hAnsi="Arial Unicode MS"/>
          <w:color w:val="666699"/>
          <w:sz w:val="20"/>
        </w:rPr>
      </w:pPr>
      <w:r>
        <w:rPr>
          <w:rFonts w:ascii="Arial Unicode MS" w:hAnsi="Arial Unicode MS" w:hint="eastAsia"/>
          <w:color w:val="666699"/>
          <w:sz w:val="20"/>
        </w:rPr>
        <w:t xml:space="preserve">　　　　</w:t>
      </w:r>
      <w:r w:rsidR="00F51EAF" w:rsidRPr="00171E1D">
        <w:rPr>
          <w:rFonts w:ascii="Arial Unicode MS" w:hAnsi="Arial Unicode MS" w:hint="eastAsia"/>
          <w:color w:val="666699"/>
          <w:sz w:val="20"/>
        </w:rPr>
        <w:t xml:space="preserve">　　　　　　　　　　　　　　　　　　　　　　　　　　　　　　　　　　　　　　　　</w:t>
      </w:r>
      <w:hyperlink w:anchor="a章節索引" w:history="1">
        <w:r w:rsidR="00F51EAF" w:rsidRPr="00171E1D">
          <w:rPr>
            <w:rStyle w:val="a3"/>
            <w:rFonts w:ascii="Arial Unicode MS" w:hAnsi="Arial Unicode MS" w:hint="eastAsia"/>
            <w:sz w:val="18"/>
          </w:rPr>
          <w:t>回索引</w:t>
        </w:r>
      </w:hyperlink>
      <w:r w:rsidR="006B788F">
        <w:rPr>
          <w:rFonts w:ascii="Arial Unicode MS" w:hAnsi="Arial Unicode MS" w:hint="eastAsia"/>
          <w:color w:val="808000"/>
          <w:sz w:val="18"/>
        </w:rPr>
        <w:t>〉〉</w:t>
      </w:r>
    </w:p>
    <w:p w14:paraId="58327E42" w14:textId="77777777" w:rsidR="00C26A6E" w:rsidRPr="00171E1D" w:rsidRDefault="00C26A6E" w:rsidP="00A85E5E">
      <w:pPr>
        <w:pStyle w:val="1"/>
      </w:pPr>
      <w:bookmarkStart w:id="13" w:name="_第四章__輔導、監督及獎懲"/>
      <w:bookmarkEnd w:id="13"/>
      <w:r w:rsidRPr="00171E1D">
        <w:rPr>
          <w:rFonts w:hint="eastAsia"/>
        </w:rPr>
        <w:lastRenderedPageBreak/>
        <w:t>第四章　　輔導、監督及獎懲</w:t>
      </w:r>
    </w:p>
    <w:p w14:paraId="798F93E4" w14:textId="77777777" w:rsidR="002F7139" w:rsidRDefault="00C26A6E" w:rsidP="00AE2862">
      <w:pPr>
        <w:pStyle w:val="2"/>
      </w:pPr>
      <w:r w:rsidRPr="00171E1D">
        <w:rPr>
          <w:rFonts w:hint="eastAsia"/>
        </w:rPr>
        <w:t>第</w:t>
      </w:r>
      <w:r w:rsidR="00700943">
        <w:rPr>
          <w:rFonts w:hint="eastAsia"/>
        </w:rPr>
        <w:t>35</w:t>
      </w:r>
      <w:r w:rsidR="00B00F40" w:rsidRPr="00171E1D">
        <w:rPr>
          <w:rFonts w:hint="eastAsia"/>
        </w:rPr>
        <w:t>條</w:t>
      </w:r>
      <w:r w:rsidR="00171E1D">
        <w:rPr>
          <w:rFonts w:hint="eastAsia"/>
        </w:rPr>
        <w:t>（</w:t>
      </w:r>
      <w:r w:rsidRPr="00171E1D">
        <w:rPr>
          <w:rFonts w:hint="eastAsia"/>
        </w:rPr>
        <w:t>環境保護之研究發展</w:t>
      </w:r>
      <w:r w:rsidR="002F7139">
        <w:rPr>
          <w:rFonts w:hint="eastAsia"/>
        </w:rPr>
        <w:t>）</w:t>
      </w:r>
    </w:p>
    <w:p w14:paraId="5E273811" w14:textId="290515B8"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中央政府應獎勵環境保護學術及研究機構充實設備、延攬及培訓人員、引進先進科技、整合研究資源，加速環境保護科技示範計畫及研究發展。</w:t>
      </w:r>
    </w:p>
    <w:p w14:paraId="344C69B2" w14:textId="77777777" w:rsidR="002F7139" w:rsidRDefault="00C26A6E" w:rsidP="00AE2862">
      <w:pPr>
        <w:pStyle w:val="2"/>
      </w:pPr>
      <w:r w:rsidRPr="00171E1D">
        <w:rPr>
          <w:rFonts w:hint="eastAsia"/>
        </w:rPr>
        <w:t>第</w:t>
      </w:r>
      <w:r w:rsidR="00700943">
        <w:rPr>
          <w:rFonts w:hint="eastAsia"/>
        </w:rPr>
        <w:t>36</w:t>
      </w:r>
      <w:r w:rsidR="00B00F40" w:rsidRPr="00171E1D">
        <w:rPr>
          <w:rFonts w:hint="eastAsia"/>
        </w:rPr>
        <w:t>條</w:t>
      </w:r>
      <w:r w:rsidR="00171E1D">
        <w:rPr>
          <w:rFonts w:hint="eastAsia"/>
        </w:rPr>
        <w:t>（</w:t>
      </w:r>
      <w:r w:rsidRPr="00171E1D">
        <w:rPr>
          <w:rFonts w:hint="eastAsia"/>
        </w:rPr>
        <w:t>環境保護事業之輔導獎勵</w:t>
      </w:r>
      <w:r w:rsidR="002F7139">
        <w:rPr>
          <w:rFonts w:hint="eastAsia"/>
        </w:rPr>
        <w:t>）</w:t>
      </w:r>
    </w:p>
    <w:p w14:paraId="7187DA36" w14:textId="2406BA72"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各級政府應採優惠獎勵措施，輔導環境保護事業及民間環境保護團體發展，及鼓勵民間投資環境保護事業</w:t>
      </w:r>
      <w:r>
        <w:rPr>
          <w:rFonts w:ascii="Arial Unicode MS" w:hAnsi="Arial Unicode MS" w:hint="eastAsia"/>
          <w:color w:val="17365D"/>
          <w:sz w:val="20"/>
        </w:rPr>
        <w:t>。</w:t>
      </w:r>
    </w:p>
    <w:p w14:paraId="67EBA2D9" w14:textId="32DCF392"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中央政府應輔導、管理環境保護事業，以提升環境保護工程、服務品質。</w:t>
      </w:r>
    </w:p>
    <w:p w14:paraId="022C9520" w14:textId="77777777" w:rsidR="002F7139" w:rsidRDefault="00C26A6E" w:rsidP="00AE2862">
      <w:pPr>
        <w:pStyle w:val="2"/>
      </w:pPr>
      <w:r w:rsidRPr="00171E1D">
        <w:rPr>
          <w:rFonts w:hint="eastAsia"/>
        </w:rPr>
        <w:t>第</w:t>
      </w:r>
      <w:r w:rsidR="00700943">
        <w:rPr>
          <w:rFonts w:hint="eastAsia"/>
        </w:rPr>
        <w:t>37</w:t>
      </w:r>
      <w:r w:rsidR="00B00F40" w:rsidRPr="00171E1D">
        <w:rPr>
          <w:rFonts w:hint="eastAsia"/>
        </w:rPr>
        <w:t>條</w:t>
      </w:r>
      <w:r w:rsidR="00171E1D">
        <w:rPr>
          <w:rFonts w:hint="eastAsia"/>
        </w:rPr>
        <w:t>（</w:t>
      </w:r>
      <w:r w:rsidRPr="00171E1D">
        <w:rPr>
          <w:rFonts w:hint="eastAsia"/>
        </w:rPr>
        <w:t>環保工作之輔導、獎勵及補償</w:t>
      </w:r>
      <w:r w:rsidR="002F7139">
        <w:rPr>
          <w:rFonts w:hint="eastAsia"/>
        </w:rPr>
        <w:t>）</w:t>
      </w:r>
    </w:p>
    <w:p w14:paraId="248520E6" w14:textId="7FDC9B50"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各級政府為求資源之合理有效利用及因應環境保護之需要，對下列事項，應採適當之優惠、獎勵、輔導或補償措施：</w:t>
      </w:r>
    </w:p>
    <w:p w14:paraId="7A2E2927" w14:textId="77777777" w:rsidR="002F7139" w:rsidRDefault="00C26A6E" w:rsidP="00125FFF">
      <w:pPr>
        <w:ind w:leftChars="75" w:left="180"/>
        <w:jc w:val="both"/>
        <w:rPr>
          <w:rFonts w:ascii="Arial Unicode MS" w:hAnsi="Arial Unicode MS"/>
          <w:color w:val="17365D"/>
          <w:sz w:val="20"/>
        </w:rPr>
      </w:pPr>
      <w:r w:rsidRPr="00171E1D">
        <w:rPr>
          <w:rFonts w:ascii="Arial Unicode MS" w:hAnsi="Arial Unicode MS" w:hint="eastAsia"/>
          <w:color w:val="17365D"/>
          <w:sz w:val="20"/>
        </w:rPr>
        <w:t xml:space="preserve">　　一、從事自然、社會及人文環境之保護</w:t>
      </w:r>
      <w:r w:rsidR="002F7139">
        <w:rPr>
          <w:rFonts w:ascii="Arial Unicode MS" w:hAnsi="Arial Unicode MS" w:hint="eastAsia"/>
          <w:color w:val="17365D"/>
          <w:sz w:val="20"/>
        </w:rPr>
        <w:t>。</w:t>
      </w:r>
    </w:p>
    <w:p w14:paraId="20FCD8F5" w14:textId="49A46F89"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二</w:t>
      </w:r>
      <w:r>
        <w:rPr>
          <w:rFonts w:ascii="Arial Unicode MS" w:hAnsi="Arial Unicode MS" w:hint="eastAsia"/>
          <w:color w:val="17365D"/>
          <w:sz w:val="20"/>
        </w:rPr>
        <w:t>、</w:t>
      </w:r>
      <w:r w:rsidR="00C26A6E" w:rsidRPr="00171E1D">
        <w:rPr>
          <w:rFonts w:ascii="Arial Unicode MS" w:hAnsi="Arial Unicode MS" w:hint="eastAsia"/>
          <w:color w:val="17365D"/>
          <w:sz w:val="20"/>
        </w:rPr>
        <w:t>研發清潔生產技術、設備及生產清潔產品</w:t>
      </w:r>
      <w:r>
        <w:rPr>
          <w:rFonts w:ascii="Arial Unicode MS" w:hAnsi="Arial Unicode MS" w:hint="eastAsia"/>
          <w:color w:val="17365D"/>
          <w:sz w:val="20"/>
        </w:rPr>
        <w:t>。</w:t>
      </w:r>
    </w:p>
    <w:p w14:paraId="5491E18E" w14:textId="00795243"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三</w:t>
      </w:r>
      <w:r>
        <w:rPr>
          <w:rFonts w:ascii="Arial Unicode MS" w:hAnsi="Arial Unicode MS" w:hint="eastAsia"/>
          <w:color w:val="17365D"/>
          <w:sz w:val="20"/>
        </w:rPr>
        <w:t>、</w:t>
      </w:r>
      <w:r w:rsidR="00C26A6E" w:rsidRPr="00171E1D">
        <w:rPr>
          <w:rFonts w:ascii="Arial Unicode MS" w:hAnsi="Arial Unicode MS" w:hint="eastAsia"/>
          <w:color w:val="17365D"/>
          <w:sz w:val="20"/>
        </w:rPr>
        <w:t>研發資源回收再利用技術</w:t>
      </w:r>
      <w:r>
        <w:rPr>
          <w:rFonts w:ascii="Arial Unicode MS" w:hAnsi="Arial Unicode MS" w:hint="eastAsia"/>
          <w:color w:val="17365D"/>
          <w:sz w:val="20"/>
        </w:rPr>
        <w:t>。</w:t>
      </w:r>
    </w:p>
    <w:p w14:paraId="147EB3F6" w14:textId="1C5F0B3C"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四</w:t>
      </w:r>
      <w:r>
        <w:rPr>
          <w:rFonts w:ascii="Arial Unicode MS" w:hAnsi="Arial Unicode MS" w:hint="eastAsia"/>
          <w:color w:val="17365D"/>
          <w:sz w:val="20"/>
        </w:rPr>
        <w:t>、</w:t>
      </w:r>
      <w:r w:rsidR="00C26A6E" w:rsidRPr="00171E1D">
        <w:rPr>
          <w:rFonts w:ascii="Arial Unicode MS" w:hAnsi="Arial Unicode MS" w:hint="eastAsia"/>
          <w:color w:val="17365D"/>
          <w:sz w:val="20"/>
        </w:rPr>
        <w:t>再生能源之推廣及應用</w:t>
      </w:r>
      <w:r>
        <w:rPr>
          <w:rFonts w:ascii="Arial Unicode MS" w:hAnsi="Arial Unicode MS" w:hint="eastAsia"/>
          <w:color w:val="17365D"/>
          <w:sz w:val="20"/>
        </w:rPr>
        <w:t>。</w:t>
      </w:r>
    </w:p>
    <w:p w14:paraId="45E57CAB" w14:textId="6B51A789"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五</w:t>
      </w:r>
      <w:r>
        <w:rPr>
          <w:rFonts w:ascii="Arial Unicode MS" w:hAnsi="Arial Unicode MS" w:hint="eastAsia"/>
          <w:color w:val="17365D"/>
          <w:sz w:val="20"/>
        </w:rPr>
        <w:t>、</w:t>
      </w:r>
      <w:r w:rsidR="00C26A6E" w:rsidRPr="00171E1D">
        <w:rPr>
          <w:rFonts w:ascii="Arial Unicode MS" w:hAnsi="Arial Unicode MS" w:hint="eastAsia"/>
          <w:color w:val="17365D"/>
          <w:sz w:val="20"/>
        </w:rPr>
        <w:t>研發節約能源技術及設置節約能源產品</w:t>
      </w:r>
      <w:r>
        <w:rPr>
          <w:rFonts w:ascii="Arial Unicode MS" w:hAnsi="Arial Unicode MS" w:hint="eastAsia"/>
          <w:color w:val="17365D"/>
          <w:sz w:val="20"/>
        </w:rPr>
        <w:t>。</w:t>
      </w:r>
    </w:p>
    <w:p w14:paraId="67595338" w14:textId="67EAFBFE"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六</w:t>
      </w:r>
      <w:r>
        <w:rPr>
          <w:rFonts w:ascii="Arial Unicode MS" w:hAnsi="Arial Unicode MS" w:hint="eastAsia"/>
          <w:color w:val="17365D"/>
          <w:sz w:val="20"/>
        </w:rPr>
        <w:t>、</w:t>
      </w:r>
      <w:r w:rsidR="00C26A6E" w:rsidRPr="00171E1D">
        <w:rPr>
          <w:rFonts w:ascii="Arial Unicode MS" w:hAnsi="Arial Unicode MS" w:hint="eastAsia"/>
          <w:color w:val="17365D"/>
          <w:sz w:val="20"/>
        </w:rPr>
        <w:t>製造或設置污染防治設備</w:t>
      </w:r>
      <w:r>
        <w:rPr>
          <w:rFonts w:ascii="Arial Unicode MS" w:hAnsi="Arial Unicode MS" w:hint="eastAsia"/>
          <w:color w:val="17365D"/>
          <w:sz w:val="20"/>
        </w:rPr>
        <w:t>。</w:t>
      </w:r>
    </w:p>
    <w:p w14:paraId="777FDB8B" w14:textId="66DC255E"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七</w:t>
      </w:r>
      <w:r>
        <w:rPr>
          <w:rFonts w:ascii="Arial Unicode MS" w:hAnsi="Arial Unicode MS" w:hint="eastAsia"/>
          <w:color w:val="17365D"/>
          <w:sz w:val="20"/>
        </w:rPr>
        <w:t>、</w:t>
      </w:r>
      <w:r w:rsidR="00C26A6E" w:rsidRPr="00171E1D">
        <w:rPr>
          <w:rFonts w:ascii="Arial Unicode MS" w:hAnsi="Arial Unicode MS" w:hint="eastAsia"/>
          <w:color w:val="17365D"/>
          <w:sz w:val="20"/>
        </w:rPr>
        <w:t>為環境保護目的而遷移</w:t>
      </w:r>
      <w:r>
        <w:rPr>
          <w:rFonts w:ascii="Arial Unicode MS" w:hAnsi="Arial Unicode MS" w:hint="eastAsia"/>
          <w:color w:val="17365D"/>
          <w:sz w:val="20"/>
        </w:rPr>
        <w:t>。</w:t>
      </w:r>
    </w:p>
    <w:p w14:paraId="4CEDC72F" w14:textId="42BBE7C6"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八</w:t>
      </w:r>
      <w:r>
        <w:rPr>
          <w:rFonts w:ascii="Arial Unicode MS" w:hAnsi="Arial Unicode MS" w:hint="eastAsia"/>
          <w:color w:val="17365D"/>
          <w:sz w:val="20"/>
        </w:rPr>
        <w:t>、</w:t>
      </w:r>
      <w:r w:rsidR="00C26A6E" w:rsidRPr="00171E1D">
        <w:rPr>
          <w:rFonts w:ascii="Arial Unicode MS" w:hAnsi="Arial Unicode MS" w:hint="eastAsia"/>
          <w:color w:val="17365D"/>
          <w:sz w:val="20"/>
        </w:rPr>
        <w:t>提供土地或其他資源作為環境保護之用</w:t>
      </w:r>
      <w:r>
        <w:rPr>
          <w:rFonts w:ascii="Arial Unicode MS" w:hAnsi="Arial Unicode MS" w:hint="eastAsia"/>
          <w:color w:val="17365D"/>
          <w:sz w:val="20"/>
        </w:rPr>
        <w:t>。</w:t>
      </w:r>
    </w:p>
    <w:p w14:paraId="3A649AE9" w14:textId="4C227663" w:rsidR="002F7139"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九</w:t>
      </w:r>
      <w:r>
        <w:rPr>
          <w:rFonts w:ascii="Arial Unicode MS" w:hAnsi="Arial Unicode MS" w:hint="eastAsia"/>
          <w:color w:val="17365D"/>
          <w:sz w:val="20"/>
        </w:rPr>
        <w:t>、</w:t>
      </w:r>
      <w:r w:rsidR="00C26A6E" w:rsidRPr="00171E1D">
        <w:rPr>
          <w:rFonts w:ascii="Arial Unicode MS" w:hAnsi="Arial Unicode MS" w:hint="eastAsia"/>
          <w:color w:val="17365D"/>
          <w:sz w:val="20"/>
        </w:rPr>
        <w:t>從事環境造林綠地</w:t>
      </w:r>
      <w:r>
        <w:rPr>
          <w:rFonts w:ascii="Arial Unicode MS" w:hAnsi="Arial Unicode MS" w:hint="eastAsia"/>
          <w:color w:val="17365D"/>
          <w:sz w:val="20"/>
        </w:rPr>
        <w:t>。</w:t>
      </w:r>
    </w:p>
    <w:p w14:paraId="2505DB05" w14:textId="210D3782" w:rsidR="00C26A6E" w:rsidRPr="00171E1D" w:rsidRDefault="002F7139" w:rsidP="00125FFF">
      <w:pPr>
        <w:ind w:leftChars="75" w:left="180"/>
        <w:jc w:val="both"/>
        <w:rPr>
          <w:rFonts w:ascii="Arial Unicode MS" w:hAnsi="Arial Unicode MS"/>
          <w:color w:val="17365D"/>
          <w:sz w:val="20"/>
        </w:rPr>
      </w:pPr>
      <w:r>
        <w:rPr>
          <w:rFonts w:ascii="Arial Unicode MS" w:hAnsi="Arial Unicode MS" w:hint="eastAsia"/>
          <w:color w:val="17365D"/>
          <w:sz w:val="20"/>
        </w:rPr>
        <w:t xml:space="preserve">　　</w:t>
      </w:r>
      <w:r w:rsidRPr="00171E1D">
        <w:rPr>
          <w:rFonts w:ascii="Arial Unicode MS" w:hAnsi="Arial Unicode MS" w:hint="eastAsia"/>
          <w:color w:val="17365D"/>
          <w:sz w:val="20"/>
        </w:rPr>
        <w:t>十</w:t>
      </w:r>
      <w:r>
        <w:rPr>
          <w:rFonts w:ascii="Arial Unicode MS" w:hAnsi="Arial Unicode MS" w:hint="eastAsia"/>
          <w:color w:val="17365D"/>
          <w:sz w:val="20"/>
        </w:rPr>
        <w:t>、</w:t>
      </w:r>
      <w:r w:rsidR="00C26A6E" w:rsidRPr="00171E1D">
        <w:rPr>
          <w:rFonts w:ascii="Arial Unicode MS" w:hAnsi="Arial Unicode MS" w:hint="eastAsia"/>
          <w:color w:val="17365D"/>
          <w:sz w:val="20"/>
        </w:rPr>
        <w:t>其他環境保護有關事項。</w:t>
      </w:r>
    </w:p>
    <w:p w14:paraId="0E4BAC13" w14:textId="77777777" w:rsidR="002F7139" w:rsidRDefault="00C26A6E" w:rsidP="00AE2862">
      <w:pPr>
        <w:pStyle w:val="2"/>
      </w:pPr>
      <w:r w:rsidRPr="00171E1D">
        <w:rPr>
          <w:rFonts w:hint="eastAsia"/>
        </w:rPr>
        <w:t>第</w:t>
      </w:r>
      <w:r w:rsidR="00700943">
        <w:rPr>
          <w:rFonts w:hint="eastAsia"/>
        </w:rPr>
        <w:t>38</w:t>
      </w:r>
      <w:r w:rsidR="00B00F40" w:rsidRPr="00171E1D">
        <w:rPr>
          <w:rFonts w:hint="eastAsia"/>
        </w:rPr>
        <w:t>條</w:t>
      </w:r>
      <w:r w:rsidR="00171E1D">
        <w:rPr>
          <w:rFonts w:hint="eastAsia"/>
        </w:rPr>
        <w:t>（</w:t>
      </w:r>
      <w:r w:rsidRPr="00171E1D">
        <w:rPr>
          <w:rFonts w:hint="eastAsia"/>
        </w:rPr>
        <w:t>促進再生資源，使用環保標章產品</w:t>
      </w:r>
      <w:r w:rsidR="002F7139">
        <w:rPr>
          <w:rFonts w:hint="eastAsia"/>
        </w:rPr>
        <w:t>）</w:t>
      </w:r>
    </w:p>
    <w:p w14:paraId="33474DAA" w14:textId="69110914"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各級政府應採行必要措施，以促進再生資源及其他有益減低環境負荷之原（材）料、製品及勞務之利用</w:t>
      </w:r>
      <w:r>
        <w:rPr>
          <w:rFonts w:ascii="Arial Unicode MS" w:hAnsi="Arial Unicode MS" w:hint="eastAsia"/>
          <w:color w:val="17365D"/>
          <w:sz w:val="20"/>
        </w:rPr>
        <w:t>。</w:t>
      </w:r>
    </w:p>
    <w:p w14:paraId="6401DF33" w14:textId="4CF63EDB" w:rsidR="00C26A6E" w:rsidRPr="00171E1D" w:rsidRDefault="002F7139" w:rsidP="00125FFF">
      <w:pPr>
        <w:ind w:leftChars="75" w:left="180"/>
        <w:jc w:val="both"/>
        <w:rPr>
          <w:rFonts w:ascii="Arial Unicode MS" w:hAnsi="Arial Unicode MS"/>
          <w:color w:val="666699"/>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2</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666699"/>
          <w:sz w:val="20"/>
        </w:rPr>
        <w:t>各級政府之採購，應以再生資源製品及環境保護標章產品為原則。</w:t>
      </w:r>
    </w:p>
    <w:p w14:paraId="666F3386" w14:textId="77777777" w:rsidR="002F7139" w:rsidRDefault="00C26A6E" w:rsidP="00AE2862">
      <w:pPr>
        <w:pStyle w:val="2"/>
      </w:pPr>
      <w:r w:rsidRPr="00171E1D">
        <w:rPr>
          <w:rFonts w:hint="eastAsia"/>
        </w:rPr>
        <w:t>第</w:t>
      </w:r>
      <w:r w:rsidR="00700943">
        <w:rPr>
          <w:rFonts w:hint="eastAsia"/>
        </w:rPr>
        <w:t>39</w:t>
      </w:r>
      <w:r w:rsidR="00B00F40" w:rsidRPr="00171E1D">
        <w:rPr>
          <w:rFonts w:hint="eastAsia"/>
        </w:rPr>
        <w:t>條</w:t>
      </w:r>
      <w:r w:rsidR="00171E1D">
        <w:rPr>
          <w:rFonts w:hint="eastAsia"/>
        </w:rPr>
        <w:t>（</w:t>
      </w:r>
      <w:r w:rsidRPr="00171E1D">
        <w:rPr>
          <w:rFonts w:hint="eastAsia"/>
        </w:rPr>
        <w:t>違反行為之取締處罰</w:t>
      </w:r>
      <w:r w:rsidR="002F7139">
        <w:rPr>
          <w:rFonts w:hint="eastAsia"/>
        </w:rPr>
        <w:t>）</w:t>
      </w:r>
    </w:p>
    <w:p w14:paraId="29CFBC24" w14:textId="1F451728" w:rsidR="002F7139"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各級政府應確實執行環境保護相關法規，對於違反者，應依法取締、處罰</w:t>
      </w:r>
      <w:r>
        <w:rPr>
          <w:rFonts w:ascii="Arial Unicode MS" w:hAnsi="Arial Unicode MS" w:hint="eastAsia"/>
          <w:color w:val="17365D"/>
          <w:sz w:val="20"/>
        </w:rPr>
        <w:t>。</w:t>
      </w:r>
    </w:p>
    <w:p w14:paraId="4C62D843" w14:textId="04A439FC" w:rsidR="00F51EAF" w:rsidRPr="00171E1D" w:rsidRDefault="002F7139" w:rsidP="00F51EAF">
      <w:pPr>
        <w:ind w:left="119"/>
        <w:rPr>
          <w:rFonts w:ascii="Arial Unicode MS" w:hAnsi="Arial Unicode MS"/>
          <w:color w:val="666699"/>
          <w:sz w:val="20"/>
        </w:rPr>
      </w:pPr>
      <w:r>
        <w:rPr>
          <w:rFonts w:ascii="Arial Unicode MS" w:hAnsi="Arial Unicode MS" w:hint="eastAsia"/>
          <w:color w:val="17365D"/>
          <w:sz w:val="20"/>
        </w:rPr>
        <w:t xml:space="preserve">　　　　</w:t>
      </w:r>
      <w:r w:rsidR="00F51EAF" w:rsidRPr="00171E1D">
        <w:rPr>
          <w:rFonts w:ascii="Arial Unicode MS" w:hAnsi="Arial Unicode MS" w:hint="eastAsia"/>
          <w:color w:val="666699"/>
          <w:sz w:val="20"/>
        </w:rPr>
        <w:t xml:space="preserve">　　　　　　　　　　　　　　　　　　　　　　　　　　　　　　　　　　　　　　　　</w:t>
      </w:r>
      <w:hyperlink w:anchor="a章節索引" w:history="1">
        <w:r w:rsidR="00F51EAF" w:rsidRPr="00171E1D">
          <w:rPr>
            <w:rStyle w:val="a3"/>
            <w:rFonts w:ascii="Arial Unicode MS" w:hAnsi="Arial Unicode MS" w:hint="eastAsia"/>
            <w:sz w:val="18"/>
          </w:rPr>
          <w:t>回索引</w:t>
        </w:r>
      </w:hyperlink>
      <w:r w:rsidR="006B788F">
        <w:rPr>
          <w:rFonts w:ascii="Arial Unicode MS" w:hAnsi="Arial Unicode MS" w:hint="eastAsia"/>
          <w:color w:val="808000"/>
          <w:sz w:val="18"/>
        </w:rPr>
        <w:t>〉〉</w:t>
      </w:r>
    </w:p>
    <w:p w14:paraId="070F5F08" w14:textId="77777777" w:rsidR="00C26A6E" w:rsidRPr="00171E1D" w:rsidRDefault="00C26A6E" w:rsidP="00A85E5E">
      <w:pPr>
        <w:pStyle w:val="1"/>
      </w:pPr>
      <w:bookmarkStart w:id="14" w:name="_第五章__附"/>
      <w:bookmarkEnd w:id="14"/>
      <w:r w:rsidRPr="00171E1D">
        <w:rPr>
          <w:rFonts w:hint="eastAsia"/>
        </w:rPr>
        <w:t>第五章　　附　則</w:t>
      </w:r>
      <w:r w:rsidR="00B00F40" w:rsidRPr="00171E1D">
        <w:rPr>
          <w:rFonts w:hint="eastAsia"/>
        </w:rPr>
        <w:t xml:space="preserve">　　</w:t>
      </w:r>
    </w:p>
    <w:p w14:paraId="523B69AD" w14:textId="77777777" w:rsidR="002F7139" w:rsidRDefault="00C26A6E" w:rsidP="00AE2862">
      <w:pPr>
        <w:pStyle w:val="2"/>
      </w:pPr>
      <w:r w:rsidRPr="00171E1D">
        <w:rPr>
          <w:rFonts w:hint="eastAsia"/>
        </w:rPr>
        <w:t>第</w:t>
      </w:r>
      <w:r w:rsidR="00700943">
        <w:rPr>
          <w:rFonts w:hint="eastAsia"/>
        </w:rPr>
        <w:t>40</w:t>
      </w:r>
      <w:r w:rsidR="00700943">
        <w:rPr>
          <w:rFonts w:hint="eastAsia"/>
        </w:rPr>
        <w:t>條</w:t>
      </w:r>
      <w:r w:rsidR="00171E1D">
        <w:rPr>
          <w:rFonts w:hint="eastAsia"/>
        </w:rPr>
        <w:t>（</w:t>
      </w:r>
      <w:r w:rsidRPr="00171E1D">
        <w:rPr>
          <w:rFonts w:hint="eastAsia"/>
        </w:rPr>
        <w:t>訂定環境日</w:t>
      </w:r>
      <w:r w:rsidR="002F7139">
        <w:rPr>
          <w:rFonts w:hint="eastAsia"/>
        </w:rPr>
        <w:t>）</w:t>
      </w:r>
    </w:p>
    <w:p w14:paraId="42B79AD6" w14:textId="4D14F035"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為促使國民、事業及各級政府深植環境保護理念，共同關懷環境問題，特訂定六月五日為環境日。</w:t>
      </w:r>
    </w:p>
    <w:p w14:paraId="3821D6CB" w14:textId="77777777" w:rsidR="002F7139" w:rsidRDefault="00C26A6E" w:rsidP="00AE2862">
      <w:pPr>
        <w:pStyle w:val="2"/>
      </w:pPr>
      <w:r w:rsidRPr="00171E1D">
        <w:rPr>
          <w:rFonts w:hint="eastAsia"/>
        </w:rPr>
        <w:t>第</w:t>
      </w:r>
      <w:r w:rsidR="00700943">
        <w:rPr>
          <w:rFonts w:hint="eastAsia"/>
        </w:rPr>
        <w:t>41</w:t>
      </w:r>
      <w:r w:rsidR="00B00F40" w:rsidRPr="00171E1D">
        <w:rPr>
          <w:rFonts w:hint="eastAsia"/>
        </w:rPr>
        <w:t>條</w:t>
      </w:r>
      <w:r w:rsidR="00171E1D">
        <w:rPr>
          <w:rFonts w:hint="eastAsia"/>
        </w:rPr>
        <w:t>（</w:t>
      </w:r>
      <w:r w:rsidRPr="00171E1D">
        <w:rPr>
          <w:rFonts w:hint="eastAsia"/>
        </w:rPr>
        <w:t>施行日</w:t>
      </w:r>
      <w:r w:rsidR="002F7139">
        <w:rPr>
          <w:rFonts w:hint="eastAsia"/>
        </w:rPr>
        <w:t>）</w:t>
      </w:r>
    </w:p>
    <w:p w14:paraId="7A97EA24" w14:textId="1098B175" w:rsidR="00C26A6E" w:rsidRPr="00171E1D" w:rsidRDefault="002F7139" w:rsidP="00125FFF">
      <w:pPr>
        <w:ind w:leftChars="75" w:left="180"/>
        <w:jc w:val="both"/>
        <w:rPr>
          <w:rFonts w:ascii="Arial Unicode MS" w:hAnsi="Arial Unicode MS"/>
          <w:color w:val="17365D"/>
          <w:sz w:val="20"/>
        </w:rPr>
      </w:pPr>
      <w:r w:rsidRPr="002F7139">
        <w:rPr>
          <w:rFonts w:asciiTheme="minorHAnsi" w:hAnsiTheme="minorHAnsi" w:hint="eastAsia"/>
          <w:color w:val="404040" w:themeColor="text1" w:themeTint="BF"/>
          <w:sz w:val="18"/>
        </w:rPr>
        <w:t>﹝</w:t>
      </w:r>
      <w:r w:rsidRPr="002F7139">
        <w:rPr>
          <w:rFonts w:asciiTheme="minorHAnsi" w:hAnsiTheme="minorHAnsi" w:hint="eastAsia"/>
          <w:color w:val="404040" w:themeColor="text1" w:themeTint="BF"/>
          <w:sz w:val="18"/>
        </w:rPr>
        <w:t>1</w:t>
      </w:r>
      <w:r w:rsidRPr="002F7139">
        <w:rPr>
          <w:rFonts w:asciiTheme="minorHAnsi" w:hAnsiTheme="minorHAnsi" w:hint="eastAsia"/>
          <w:color w:val="404040" w:themeColor="text1" w:themeTint="BF"/>
          <w:sz w:val="18"/>
        </w:rPr>
        <w:t>﹞</w:t>
      </w:r>
      <w:r w:rsidR="00C26A6E" w:rsidRPr="00171E1D">
        <w:rPr>
          <w:rFonts w:ascii="Arial Unicode MS" w:hAnsi="Arial Unicode MS" w:hint="eastAsia"/>
          <w:color w:val="17365D"/>
          <w:sz w:val="20"/>
        </w:rPr>
        <w:t>本法自公布日施行。</w:t>
      </w:r>
    </w:p>
    <w:p w14:paraId="30FE6BED" w14:textId="77777777" w:rsidR="00125FFF" w:rsidRDefault="00125FFF" w:rsidP="00125FFF">
      <w:pPr>
        <w:ind w:leftChars="75" w:left="180"/>
        <w:jc w:val="both"/>
        <w:rPr>
          <w:rFonts w:ascii="Arial Unicode MS" w:hAnsi="Arial Unicode MS"/>
          <w:color w:val="666699"/>
          <w:sz w:val="20"/>
        </w:rPr>
      </w:pPr>
    </w:p>
    <w:p w14:paraId="2B7F3EE3" w14:textId="77777777" w:rsidR="00171E1D" w:rsidRPr="00171E1D" w:rsidRDefault="00171E1D" w:rsidP="00125FFF">
      <w:pPr>
        <w:ind w:leftChars="75" w:left="180"/>
        <w:jc w:val="both"/>
        <w:rPr>
          <w:rFonts w:ascii="Arial Unicode MS" w:hAnsi="Arial Unicode MS"/>
          <w:color w:val="666699"/>
          <w:sz w:val="20"/>
        </w:rPr>
      </w:pPr>
    </w:p>
    <w:p w14:paraId="4B9C517F" w14:textId="77777777" w:rsidR="00066F8B" w:rsidRPr="00C1655B" w:rsidRDefault="00066F8B" w:rsidP="00066F8B">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6EF5678" w14:textId="1B297D29" w:rsidR="00125FFF" w:rsidRPr="00066F8B" w:rsidRDefault="00066F8B" w:rsidP="00066F8B">
      <w:pPr>
        <w:ind w:leftChars="71" w:left="170"/>
        <w:jc w:val="both"/>
        <w:rPr>
          <w:rFonts w:ascii="Arial Unicode MS" w:hAnsi="Arial Unicode MS"/>
        </w:rPr>
      </w:pPr>
      <w:r w:rsidRPr="003D460F">
        <w:rPr>
          <w:rFonts w:hint="eastAsia"/>
          <w:color w:val="5F5F5F"/>
          <w:sz w:val="18"/>
          <w:szCs w:val="18"/>
        </w:rPr>
        <w:t>【編註】</w:t>
      </w:r>
      <w:r w:rsidR="007133A0">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125FFF" w:rsidRPr="00066F8B">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AF95" w14:textId="77777777" w:rsidR="00C87CD1" w:rsidRDefault="00C87CD1">
      <w:r>
        <w:separator/>
      </w:r>
    </w:p>
  </w:endnote>
  <w:endnote w:type="continuationSeparator" w:id="0">
    <w:p w14:paraId="0446458B" w14:textId="77777777" w:rsidR="00C87CD1" w:rsidRDefault="00C8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C1FE" w14:textId="77777777" w:rsidR="0069169F" w:rsidRDefault="006916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5EEF36" w14:textId="77777777" w:rsidR="0069169F" w:rsidRDefault="0069169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9885" w14:textId="77777777" w:rsidR="0069169F" w:rsidRDefault="006916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16A24">
      <w:rPr>
        <w:rStyle w:val="a7"/>
        <w:noProof/>
      </w:rPr>
      <w:t>2</w:t>
    </w:r>
    <w:r>
      <w:rPr>
        <w:rStyle w:val="a7"/>
      </w:rPr>
      <w:fldChar w:fldCharType="end"/>
    </w:r>
  </w:p>
  <w:p w14:paraId="7466167B" w14:textId="77777777" w:rsidR="0069169F" w:rsidRPr="00AE2862" w:rsidRDefault="0069169F">
    <w:pPr>
      <w:pStyle w:val="a6"/>
      <w:ind w:right="360"/>
      <w:jc w:val="right"/>
      <w:rPr>
        <w:rFonts w:ascii="Arial Unicode MS" w:hAnsi="Arial Unicode MS"/>
        <w:sz w:val="18"/>
      </w:rPr>
    </w:pPr>
    <w:r>
      <w:rPr>
        <w:rFonts w:ascii="Arial Unicode MS" w:hAnsi="Arial Unicode MS" w:hint="eastAsia"/>
        <w:sz w:val="18"/>
      </w:rPr>
      <w:t>〈〈</w:t>
    </w:r>
    <w:r w:rsidRPr="00AE2862">
      <w:rPr>
        <w:rFonts w:ascii="Arial Unicode MS" w:hAnsi="Arial Unicode MS" w:hint="eastAsia"/>
        <w:sz w:val="18"/>
      </w:rPr>
      <w:t>環境基本法</w:t>
    </w:r>
    <w:r>
      <w:rPr>
        <w:rFonts w:ascii="Arial Unicode MS" w:hAnsi="Arial Unicode MS" w:hint="eastAsia"/>
        <w:sz w:val="18"/>
      </w:rPr>
      <w:t>〉〉</w:t>
    </w:r>
    <w:r w:rsidRPr="00AE2862">
      <w:rPr>
        <w:rFonts w:ascii="Arial Unicode MS" w:hAnsi="Arial Unicode MS"/>
        <w:sz w:val="18"/>
      </w:rPr>
      <w:t>S</w:t>
    </w:r>
    <w:r w:rsidRPr="00AE2862">
      <w:rPr>
        <w:rFonts w:ascii="Arial Unicode MS" w:hAnsi="Arial Unicode MS" w:hint="eastAsia"/>
        <w:sz w:val="18"/>
      </w:rPr>
      <w:t xml:space="preserve">-link </w:t>
    </w:r>
    <w:r w:rsidRPr="00AE286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077E" w14:textId="77777777" w:rsidR="00C87CD1" w:rsidRDefault="00C87CD1">
      <w:r>
        <w:separator/>
      </w:r>
    </w:p>
  </w:footnote>
  <w:footnote w:type="continuationSeparator" w:id="0">
    <w:p w14:paraId="74D17D05" w14:textId="77777777" w:rsidR="00C87CD1" w:rsidRDefault="00C8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649021949">
    <w:abstractNumId w:val="0"/>
  </w:num>
  <w:num w:numId="2" w16cid:durableId="18764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FFF"/>
    <w:rsid w:val="00010837"/>
    <w:rsid w:val="00016A24"/>
    <w:rsid w:val="00066F8B"/>
    <w:rsid w:val="000C119A"/>
    <w:rsid w:val="00125FFF"/>
    <w:rsid w:val="00171E1D"/>
    <w:rsid w:val="002F7139"/>
    <w:rsid w:val="003245AD"/>
    <w:rsid w:val="00353C9F"/>
    <w:rsid w:val="00375EAC"/>
    <w:rsid w:val="003E772B"/>
    <w:rsid w:val="00456F4F"/>
    <w:rsid w:val="005713F4"/>
    <w:rsid w:val="006121F3"/>
    <w:rsid w:val="0069169F"/>
    <w:rsid w:val="006B2281"/>
    <w:rsid w:val="006B788F"/>
    <w:rsid w:val="00700943"/>
    <w:rsid w:val="007020B5"/>
    <w:rsid w:val="007133A0"/>
    <w:rsid w:val="00810346"/>
    <w:rsid w:val="008345F0"/>
    <w:rsid w:val="00863518"/>
    <w:rsid w:val="00863E7F"/>
    <w:rsid w:val="008B0D53"/>
    <w:rsid w:val="008F32C0"/>
    <w:rsid w:val="00916226"/>
    <w:rsid w:val="009207F0"/>
    <w:rsid w:val="00937871"/>
    <w:rsid w:val="00A71ACB"/>
    <w:rsid w:val="00A85E5E"/>
    <w:rsid w:val="00AA29D6"/>
    <w:rsid w:val="00AD7CDB"/>
    <w:rsid w:val="00AE2862"/>
    <w:rsid w:val="00B00F40"/>
    <w:rsid w:val="00B4125D"/>
    <w:rsid w:val="00C26A6E"/>
    <w:rsid w:val="00C34472"/>
    <w:rsid w:val="00C444D0"/>
    <w:rsid w:val="00C567F2"/>
    <w:rsid w:val="00C87CD1"/>
    <w:rsid w:val="00D76894"/>
    <w:rsid w:val="00DA7C66"/>
    <w:rsid w:val="00E0453E"/>
    <w:rsid w:val="00E97485"/>
    <w:rsid w:val="00EA75B1"/>
    <w:rsid w:val="00F51EAF"/>
    <w:rsid w:val="00FC0B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E53B51"/>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A85E5E"/>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AE2862"/>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AE2862"/>
    <w:rPr>
      <w:rFonts w:ascii="新細明體" w:hAnsi="新細明體"/>
      <w:sz w:val="20"/>
      <w:szCs w:val="18"/>
    </w:rPr>
  </w:style>
  <w:style w:type="character" w:customStyle="1" w:styleId="a9">
    <w:name w:val="文件引導模式 字元"/>
    <w:link w:val="a8"/>
    <w:rsid w:val="00AE2862"/>
    <w:rPr>
      <w:rFonts w:ascii="新細明體" w:hAnsi="新細明體"/>
      <w:kern w:val="2"/>
      <w:szCs w:val="18"/>
    </w:rPr>
  </w:style>
  <w:style w:type="character" w:customStyle="1" w:styleId="20">
    <w:name w:val="標題 2 字元"/>
    <w:link w:val="2"/>
    <w:rsid w:val="00AE2862"/>
    <w:rPr>
      <w:rFonts w:ascii="Arial Unicode MS" w:hAnsi="Arial Unicode MS" w:cs="Arial Unicode MS"/>
      <w:bCs/>
      <w:color w:val="990000"/>
      <w:kern w:val="2"/>
      <w:szCs w:val="48"/>
    </w:rPr>
  </w:style>
  <w:style w:type="character" w:styleId="aa">
    <w:name w:val="Unresolved Mention"/>
    <w:uiPriority w:val="99"/>
    <w:semiHidden/>
    <w:unhideWhenUsed/>
    <w:rsid w:val="000C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6law/law/&#29872;&#22659;&#22522;&#26412;&#27861;.htm" TargetMode="External"/><Relationship Id="rId17" Type="http://schemas.openxmlformats.org/officeDocument/2006/relationships/hyperlink" Target="../law3/&#29872;&#22659;&#37096;&#25512;&#21205;&#29986;&#21697;&#30899;&#36275;&#36321;&#31649;&#29702;&#35201;&#40670;.docx" TargetMode="External"/><Relationship Id="rId2" Type="http://schemas.openxmlformats.org/officeDocument/2006/relationships/styles" Target="styles.xml"/><Relationship Id="rId16" Type="http://schemas.openxmlformats.org/officeDocument/2006/relationships/hyperlink" Target="../law1/&#26368;&#39640;&#27861;&#38498;&#27665;&#20107;&#24237;&#20855;&#21443;&#32771;&#20729;&#20540;&#35009;&#21028;02.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law1/&#26368;&#39640;&#27861;&#38498;&#27665;&#20107;&#24237;&#20855;&#21443;&#32771;&#20729;&#20540;&#35009;&#21028;02.docx" TargetMode="External"/><Relationship Id="rId10" Type="http://schemas.openxmlformats.org/officeDocument/2006/relationships/hyperlink" Target="https://law.moj.gov.tw/LawClass/LawHistory.aspx?PCode=O01000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9872;&#22659;&#22522;&#26412;&#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8192049</vt:i4>
      </vt:variant>
      <vt:variant>
        <vt:i4>51</vt:i4>
      </vt:variant>
      <vt:variant>
        <vt:i4>0</vt:i4>
      </vt:variant>
      <vt:variant>
        <vt:i4>5</vt:i4>
      </vt:variant>
      <vt:variant>
        <vt:lpwstr>http://law.moj.gov.tw/</vt:lpwstr>
      </vt:variant>
      <vt:variant>
        <vt:lpwstr/>
      </vt:variant>
      <vt:variant>
        <vt:i4>6225996</vt:i4>
      </vt:variant>
      <vt:variant>
        <vt:i4>48</vt:i4>
      </vt:variant>
      <vt:variant>
        <vt:i4>0</vt:i4>
      </vt:variant>
      <vt:variant>
        <vt:i4>5</vt:i4>
      </vt:variant>
      <vt:variant>
        <vt:lpwstr>http://www.ly.gov.tw/</vt:lpwstr>
      </vt:variant>
      <vt:variant>
        <vt:lpwstr/>
      </vt:variant>
      <vt:variant>
        <vt:i4>786499</vt:i4>
      </vt:variant>
      <vt:variant>
        <vt:i4>45</vt:i4>
      </vt:variant>
      <vt:variant>
        <vt:i4>0</vt:i4>
      </vt:variant>
      <vt:variant>
        <vt:i4>5</vt:i4>
      </vt:variant>
      <vt:variant>
        <vt:lpwstr>http://www.president.gov.tw/</vt:lpwstr>
      </vt:variant>
      <vt:variant>
        <vt:lpwstr/>
      </vt:variant>
      <vt:variant>
        <vt:i4>7274612</vt:i4>
      </vt:variant>
      <vt:variant>
        <vt:i4>41</vt:i4>
      </vt:variant>
      <vt:variant>
        <vt:i4>0</vt:i4>
      </vt:variant>
      <vt:variant>
        <vt:i4>5</vt:i4>
      </vt:variant>
      <vt:variant>
        <vt:lpwstr/>
      </vt:variant>
      <vt:variant>
        <vt:lpwstr>top</vt:lpwstr>
      </vt:variant>
      <vt:variant>
        <vt:i4>7274612</vt:i4>
      </vt:variant>
      <vt:variant>
        <vt:i4>39</vt:i4>
      </vt:variant>
      <vt:variant>
        <vt:i4>0</vt:i4>
      </vt:variant>
      <vt:variant>
        <vt:i4>5</vt:i4>
      </vt:variant>
      <vt:variant>
        <vt:lpwstr/>
      </vt:variant>
      <vt:variant>
        <vt:lpwstr>top</vt:lpwstr>
      </vt:variant>
      <vt:variant>
        <vt:i4>130186145</vt:i4>
      </vt:variant>
      <vt:variant>
        <vt:i4>36</vt:i4>
      </vt:variant>
      <vt:variant>
        <vt:i4>0</vt:i4>
      </vt:variant>
      <vt:variant>
        <vt:i4>5</vt:i4>
      </vt:variant>
      <vt:variant>
        <vt:lpwstr/>
      </vt:variant>
      <vt:variant>
        <vt:lpwstr>a章節索引</vt:lpwstr>
      </vt:variant>
      <vt:variant>
        <vt:i4>130186145</vt:i4>
      </vt:variant>
      <vt:variant>
        <vt:i4>33</vt:i4>
      </vt:variant>
      <vt:variant>
        <vt:i4>0</vt:i4>
      </vt:variant>
      <vt:variant>
        <vt:i4>5</vt:i4>
      </vt:variant>
      <vt:variant>
        <vt:lpwstr/>
      </vt:variant>
      <vt:variant>
        <vt:lpwstr>a章節索引</vt:lpwstr>
      </vt:variant>
      <vt:variant>
        <vt:i4>130186145</vt:i4>
      </vt:variant>
      <vt:variant>
        <vt:i4>30</vt:i4>
      </vt:variant>
      <vt:variant>
        <vt:i4>0</vt:i4>
      </vt:variant>
      <vt:variant>
        <vt:i4>5</vt:i4>
      </vt:variant>
      <vt:variant>
        <vt:lpwstr/>
      </vt:variant>
      <vt:variant>
        <vt:lpwstr>a章節索引</vt:lpwstr>
      </vt:variant>
      <vt:variant>
        <vt:i4>130186145</vt:i4>
      </vt:variant>
      <vt:variant>
        <vt:i4>27</vt:i4>
      </vt:variant>
      <vt:variant>
        <vt:i4>0</vt:i4>
      </vt:variant>
      <vt:variant>
        <vt:i4>5</vt:i4>
      </vt:variant>
      <vt:variant>
        <vt:lpwstr/>
      </vt:variant>
      <vt:variant>
        <vt:lpwstr>a章節索引</vt:lpwstr>
      </vt:variant>
      <vt:variant>
        <vt:i4>26431124</vt:i4>
      </vt:variant>
      <vt:variant>
        <vt:i4>24</vt:i4>
      </vt:variant>
      <vt:variant>
        <vt:i4>0</vt:i4>
      </vt:variant>
      <vt:variant>
        <vt:i4>5</vt:i4>
      </vt:variant>
      <vt:variant>
        <vt:lpwstr/>
      </vt:variant>
      <vt:variant>
        <vt:lpwstr>_第五章__附</vt:lpwstr>
      </vt:variant>
      <vt:variant>
        <vt:i4>424078819</vt:i4>
      </vt:variant>
      <vt:variant>
        <vt:i4>21</vt:i4>
      </vt:variant>
      <vt:variant>
        <vt:i4>0</vt:i4>
      </vt:variant>
      <vt:variant>
        <vt:i4>5</vt:i4>
      </vt:variant>
      <vt:variant>
        <vt:lpwstr/>
      </vt:variant>
      <vt:variant>
        <vt:lpwstr>_第四章__輔導、監督及獎懲</vt:lpwstr>
      </vt:variant>
      <vt:variant>
        <vt:i4>921996273</vt:i4>
      </vt:variant>
      <vt:variant>
        <vt:i4>18</vt:i4>
      </vt:variant>
      <vt:variant>
        <vt:i4>0</vt:i4>
      </vt:variant>
      <vt:variant>
        <vt:i4>5</vt:i4>
      </vt:variant>
      <vt:variant>
        <vt:lpwstr/>
      </vt:variant>
      <vt:variant>
        <vt:lpwstr>_第三章__防制及救濟</vt:lpwstr>
      </vt:variant>
      <vt:variant>
        <vt:i4>483235017</vt:i4>
      </vt:variant>
      <vt:variant>
        <vt:i4>15</vt:i4>
      </vt:variant>
      <vt:variant>
        <vt:i4>0</vt:i4>
      </vt:variant>
      <vt:variant>
        <vt:i4>5</vt:i4>
      </vt:variant>
      <vt:variant>
        <vt:lpwstr/>
      </vt:variant>
      <vt:variant>
        <vt:lpwstr>_第二章__規劃及保護</vt:lpwstr>
      </vt:variant>
      <vt:variant>
        <vt:i4>26430976</vt:i4>
      </vt:variant>
      <vt:variant>
        <vt:i4>12</vt:i4>
      </vt:variant>
      <vt:variant>
        <vt:i4>0</vt:i4>
      </vt:variant>
      <vt:variant>
        <vt:i4>5</vt:i4>
      </vt:variant>
      <vt:variant>
        <vt:lpwstr/>
      </vt:variant>
      <vt:variant>
        <vt:lpwstr>_第一章__總</vt:lpwstr>
      </vt:variant>
      <vt:variant>
        <vt:i4>1068257272</vt:i4>
      </vt:variant>
      <vt:variant>
        <vt:i4>9</vt:i4>
      </vt:variant>
      <vt:variant>
        <vt:i4>0</vt:i4>
      </vt:variant>
      <vt:variant>
        <vt:i4>5</vt:i4>
      </vt:variant>
      <vt:variant>
        <vt:lpwstr>http://www.6law.idv.tw/6law/law/環境基本法.htm</vt:lpwstr>
      </vt:variant>
      <vt:variant>
        <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環境基本法</dc:title>
  <dc:subject/>
  <dc:creator>S-link 電子六法-黃婉玲</dc:creator>
  <cp:keywords/>
  <dc:description/>
  <cp:lastModifiedBy>黃 6laws</cp:lastModifiedBy>
  <cp:revision>22</cp:revision>
  <dcterms:created xsi:type="dcterms:W3CDTF">2014-11-27T09:31:00Z</dcterms:created>
  <dcterms:modified xsi:type="dcterms:W3CDTF">2025-04-09T16:16:00Z</dcterms:modified>
</cp:coreProperties>
</file>